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20"/>
      </w:pPr>
      <w:r>
        <w:rPr>
          <w:rStyle w:val="TNR12PtStyle"/>
          <w:b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/>
              <w:jc w:val="center"/>
            </w:pPr>
            <w:r/>
            <w:r>
              <w:rPr>
                <w:rStyle w:val="TNR14PtStyle"/>
              </w:rPr>
              <w:t>Федеральное государственное бюджетное учреждение науки</w:t>
              <w:br/>
              <w:t>Институт проблем передачи информации</w:t>
              <w:br/>
              <w:t xml:space="preserve">им. А.А. Харкевича </w:t>
              <w:br/>
              <w:t>Российской академии наук</w:t>
            </w:r>
          </w:p>
        </w:tc>
      </w:tr>
    </w:tbl>
    <w:p>
      <w:pPr>
        <w:spacing w:line="240" w:lineRule="auto" w:after="10"/>
      </w:pPr>
      <w:r>
        <w:rPr>
          <w:rStyle w:val="TNR14PtStyle"/>
        </w:rPr>
        <w:br/>
      </w:r>
      <w:r>
        <w:rPr>
          <w:rStyle w:val="TNR12PtStyle"/>
        </w:rPr>
        <w:br/>
      </w:r>
    </w:p>
    <w:p>
      <w:pPr>
        <w:spacing w:after="0"/>
        <w:ind w:left="6378"/>
        <w:jc w:val="left"/>
      </w:pPr>
      <w:r>
        <w:rPr>
          <w:rStyle w:val="TNR14PtStyle"/>
        </w:rPr>
        <w:t>Ведущему специалисту</w:t>
        <w:br/>
        <w:t>Отдела кадров</w:t>
        <w:br/>
      </w:r>
      <w:r>
        <w:rPr>
          <w:rStyle w:val="TNR14PtStyle"/>
          <w:b/>
        </w:rPr>
        <w:t>Борисовой Е.С.</w:t>
      </w:r>
    </w:p>
    <w:p>
      <w:pPr>
        <w:spacing w:line="276" w:lineRule="auto" w:after="10"/>
      </w:pPr>
      <w:r>
        <w:rPr>
          <w:rStyle w:val="TNR14PtStyle"/>
        </w:rPr>
        <w:br/>
        <w:br/>
        <w:t>‎</w:t>
      </w:r>
    </w:p>
    <w:p>
      <w:pPr>
        <w:spacing w:line="276" w:lineRule="auto" w:after="0"/>
        <w:jc w:val="center"/>
      </w:pPr>
      <w:r>
        <w:rPr>
          <w:rStyle w:val="TNR14PtStyle"/>
          <w:b/>
        </w:rPr>
        <w:t>Уведомление</w:t>
        <w:br/>
        <w:t>о предоставлении ежегодного оплачиваемого отпуска</w:t>
        <w:br/>
        <w:t>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43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988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264"/>
          </w:tcPr>
          <w:p>
            <w:pPr>
              <w:spacing w:line="276" w:lineRule="auto" w:after="0"/>
              <w:jc w:val="right"/>
            </w:pPr>
            <w:r/>
            <w:r>
              <w:rPr>
                <w:rStyle w:val="TNR12PtStyle"/>
              </w:rPr>
              <w:t>№</w:t>
            </w:r>
          </w:p>
        </w:tc>
        <w:tc>
          <w:tcPr>
            <w:tcW w:type="dxa" w:w="1984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>б/н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80"/>
              <w:jc w:val="center"/>
            </w:pPr>
            <w:r/>
            <w:r>
              <w:rPr>
                <w:rStyle w:val="TNR12PtStyle"/>
              </w:rPr>
              <w:br/>
              <w:t>Уважаемый (-ая) Елизавета Сергеевна!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 w:before="240"/>
              <w:ind w:firstLine="737"/>
              <w:jc w:val="both"/>
            </w:pPr>
            <w:r/>
            <w:r>
              <w:rPr>
                <w:rStyle w:val="TNR12PtStyle"/>
              </w:rPr>
              <w:t>В соответствии со статьей 123 Трудового кодекса Российской Федерации, уведомляем Вас, что по утвержденному графику отпусков ИППИ РАН на 2026 год Вам будет предоставлен ежегодный основной оплачиваемый отпуск с</w:t>
            </w:r>
            <w:r>
              <w:rPr>
                <w:rStyle w:val="TNR12PtStyle"/>
                <w:b/>
              </w:rPr>
              <w:t xml:space="preserve"> 06.07.2026 </w:t>
            </w:r>
            <w:r>
              <w:rPr>
                <w:rStyle w:val="TNR12PtStyle"/>
              </w:rPr>
              <w:t>года продолжительностью 10 календарных дней.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ind w:firstLine="737"/>
              <w:jc w:val="both"/>
            </w:pPr>
            <w:r/>
            <w:r>
              <w:rPr>
                <w:rStyle w:val="TNR12PtStyle"/>
              </w:rPr>
              <w:t>Просим Вас сообщить в отдел кадров о Вашем решении использовать отпуск, или перенести его на другие даты в течение 3 рабочих дней со дня получения настоящего уведомления. В соответствии со статьей 124 Трудового кодекса Российской Федерации, по согласованию с работодателем ежегодный оплачиваемый отпуск может быть перенесен на другой период по уважительной причине. В этом случае необходимо предоставить в отдел кадров заявление, согласованное с непосредственным руководителем и директором (заместителем директора) ИППИ РАН.</w:t>
            </w:r>
          </w:p>
          <w:p>
            <w:pPr>
              <w:spacing w:after="0"/>
              <w:ind w:firstLine="737"/>
              <w:jc w:val="both"/>
            </w:pPr>
            <w:r>
              <w:rPr>
                <w:rStyle w:val="TNR12PtStyle"/>
              </w:rPr>
              <w:t>Желаем Вам приятного отпуска!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40" w:before="0"/>
              <w:jc w:val="left"/>
            </w:pPr>
            <w:r/>
            <w:r>
              <w:rPr>
                <w:rStyle w:val="TNR12PtStyle"/>
              </w:rPr>
              <w:t>Ведущий специалист отдела кадров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t>Е.С. Борисова</w:t>
            </w:r>
          </w:p>
        </w:tc>
      </w:tr>
      <w:tr>
        <w:tc>
          <w:tcPr>
            <w:tcW w:type="dxa" w:w="8640"/>
            <w:gridSpan w:val="6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3260"/>
            <w:gridSpan w:val="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  <w:t xml:space="preserve">С уведомлением ознакомлен </w:t>
            </w:r>
          </w:p>
        </w:tc>
        <w:tc>
          <w:tcPr>
            <w:tcW w:type="dxa" w:w="340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  <w:tcBorders>
              <w:bottom w:sz="4" w:val="single" w:color="#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</w:tr>
      <w:tr>
        <w:tc>
          <w:tcPr>
            <w:tcW w:type="dxa" w:w="184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1417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402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283"/>
          </w:tcPr>
          <w:p>
            <w:pPr>
              <w:spacing w:line="276" w:lineRule="auto" w:after="0"/>
              <w:jc w:val="left"/>
            </w:pPr>
            <w:r/>
            <w:r>
              <w:rPr>
                <w:rStyle w:val="TNR12PtStyle"/>
              </w:rPr>
            </w:r>
          </w:p>
        </w:tc>
        <w:tc>
          <w:tcPr>
            <w:tcW w:type="dxa" w:w="3248"/>
            <w:gridSpan w:val="2"/>
          </w:tcPr>
          <w:p>
            <w:pPr>
              <w:spacing w:line="276" w:lineRule="auto" w:after="0"/>
              <w:jc w:val="center"/>
            </w:pPr>
            <w:r/>
            <w:r>
              <w:rPr>
                <w:rStyle w:val="TNR12PtStyle"/>
              </w:rPr>
              <w:br/>
              <w:t>«___»_____________202___г.</w:t>
            </w:r>
          </w:p>
        </w:tc>
      </w:tr>
    </w:tbl>
    <w:sectPr w:rsidR="00FC693F" w:rsidRPr="0006063C" w:rsidSect="00034616">
      <w:pgSz w:w="11906" w:h="16838"/>
      <w:pgMar w:top="709" w:right="567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NR12PtStyle">
    <w:name w:val="TNR12PtStyle"/>
    <w:rPr>
      <w:rFonts w:ascii="Times New Roman" w:hAnsi="Times New Roman"/>
      <w:sz w:val="24"/>
    </w:rPr>
  </w:style>
  <w:style w:type="character" w:customStyle="1" w:styleId="TNR14PtStyle">
    <w:name w:val="TNR14PtStyle"/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