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D90C3" w14:textId="4EDB292A" w:rsidR="00024FB2" w:rsidRDefault="00453085" w:rsidP="00453085">
      <w:pPr>
        <w:spacing w:after="40"/>
        <w:jc w:val="center"/>
        <w:rPr>
          <w:rFonts w:ascii="Calibri" w:hAnsi="Calibri" w:cs="Calibri"/>
          <w:b/>
          <w:sz w:val="36"/>
        </w:rPr>
      </w:pPr>
      <w:r>
        <w:rPr>
          <w:rFonts w:ascii="Calibri" w:hAnsi="Calibri" w:cs="Calibri"/>
          <w:b/>
          <w:sz w:val="36"/>
        </w:rPr>
        <w:t>MUHAMMAD RISZKY WIBOWO</w:t>
      </w:r>
    </w:p>
    <w:p w14:paraId="15B8DFD2" w14:textId="706F288B" w:rsidR="00453085" w:rsidRDefault="00453085" w:rsidP="00453085">
      <w:pPr>
        <w:spacing w:after="60"/>
        <w:jc w:val="center"/>
        <w:rPr>
          <w:rFonts w:ascii="Calibri" w:hAnsi="Calibri" w:cs="Calibri"/>
          <w:b/>
          <w:color w:val="EB6325"/>
          <w:sz w:val="21"/>
        </w:rPr>
      </w:pPr>
      <w:r>
        <w:rPr>
          <w:rFonts w:ascii="Calibri" w:hAnsi="Calibri" w:cs="Calibri"/>
          <w:b/>
          <w:color w:val="EB6325"/>
          <w:sz w:val="21"/>
        </w:rPr>
        <w:t>System Analyst &amp; AI Engineer | Enterprise ERP &amp; Autonomous Multi-Agent Swarm</w:t>
      </w:r>
    </w:p>
    <w:p w14:paraId="2A0EA3EA" w14:textId="0EB3248C" w:rsidR="00453085" w:rsidRDefault="00453085" w:rsidP="00453085">
      <w:pPr>
        <w:jc w:val="center"/>
        <w:rPr>
          <w:rFonts w:ascii="Calibri" w:hAnsi="Calibri" w:cs="Calibri"/>
          <w:color w:val="63554B"/>
          <w:sz w:val="18"/>
        </w:rPr>
      </w:pPr>
      <w:r>
        <w:rPr>
          <w:rFonts w:ascii="Calibri" w:hAnsi="Calibri" w:cs="Calibri"/>
          <w:color w:val="63554B"/>
          <w:sz w:val="18"/>
        </w:rPr>
        <w:t>Jakarta Timur, Indonesia  *  +62 851 5779 1001  *  bowolime@gmail.com  *  github.com/anYoneo  *  anyoneo.github.io/developer-portfolio</w:t>
      </w:r>
    </w:p>
    <w:p w14:paraId="20453952" w14:textId="1AB4B424" w:rsidR="00453085" w:rsidRDefault="00453085" w:rsidP="00453085">
      <w:pPr>
        <w:pBdr>
          <w:bottom w:val="single" w:sz="12" w:space="1" w:color="EB6325"/>
        </w:pBdr>
        <w:spacing w:before="140" w:after="40"/>
        <w:rPr>
          <w:rFonts w:ascii="Calibri" w:hAnsi="Calibri" w:cs="Calibri"/>
          <w:b/>
          <w:color w:val="2A170F"/>
        </w:rPr>
      </w:pPr>
      <w:r>
        <w:rPr>
          <w:rFonts w:ascii="Calibri" w:hAnsi="Calibri" w:cs="Calibri"/>
          <w:b/>
          <w:color w:val="2A170F"/>
        </w:rPr>
        <w:t>PROFESSIONAL SUMMARY</w:t>
      </w:r>
    </w:p>
    <w:p w14:paraId="4EED0F88" w14:textId="6AAA74BF" w:rsidR="00453085" w:rsidRDefault="00453085" w:rsidP="00453085">
      <w:pPr>
        <w:spacing w:after="80"/>
        <w:jc w:val="both"/>
        <w:rPr>
          <w:rFonts w:ascii="Calibri" w:hAnsi="Calibri" w:cs="Calibri"/>
          <w:color w:val="554133"/>
          <w:sz w:val="18"/>
        </w:rPr>
      </w:pPr>
      <w:r>
        <w:rPr>
          <w:rFonts w:ascii="Calibri" w:hAnsi="Calibri" w:cs="Calibri"/>
          <w:color w:val="554133"/>
          <w:sz w:val="18"/>
        </w:rPr>
        <w:t>System Analyst and AI Engineer with extensive experience bridging enterprise ERP architecture (Oracle EBS, Oracle NetSuite, Confins Finance Lease) with cutting-edge Autonomous Multi-Agent AI Systems. Proven track record in orchestrating mission-critical business logic - from engineering real-time credit-limit blocking and AR aging risk engines at RPX Group to designing AlphaDigest, an 8-persona autonomous financial intelligence swarm analyzing 130+ IDX tickers. Experienced in delivering on-site enterprise solutions internationally (including smart factory telemetry at Trina Solar, China under Hand International). Highly skilled in UML/BPMN system modeling, distributed database design (PostgreSQL, Oracle, MySQL), and scalable backend architectures (NestJS, Python, Laravel). Graduated with Bachelor in Information Systems (GPA 3.58 / 4.00) from Politeknik STMI Jakarta.</w:t>
      </w:r>
    </w:p>
    <w:p w14:paraId="46CEB223" w14:textId="0294B7C5" w:rsidR="00453085" w:rsidRDefault="00453085" w:rsidP="00453085">
      <w:pPr>
        <w:pBdr>
          <w:bottom w:val="single" w:sz="12" w:space="1" w:color="EB6325"/>
        </w:pBdr>
        <w:spacing w:before="140" w:after="40"/>
        <w:rPr>
          <w:rFonts w:ascii="Calibri" w:hAnsi="Calibri" w:cs="Calibri"/>
          <w:b/>
          <w:color w:val="2A170F"/>
        </w:rPr>
      </w:pPr>
      <w:r>
        <w:rPr>
          <w:rFonts w:ascii="Calibri" w:hAnsi="Calibri" w:cs="Calibri"/>
          <w:b/>
          <w:color w:val="2A170F"/>
        </w:rPr>
        <w:t>TECHNICAL COMPETENCIES</w:t>
      </w:r>
    </w:p>
    <w:p w14:paraId="169A941E" w14:textId="4F63B45F"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AI &amp; Autonomous Agent Engineering: </w:t>
      </w:r>
      <w:r>
        <w:rPr>
          <w:rFonts w:ascii="Calibri" w:hAnsi="Calibri" w:cs="Calibri"/>
          <w:color w:val="554133"/>
          <w:sz w:val="18"/>
        </w:rPr>
        <w:t>Multi-Agent Swarm Orchestration, LLM Prompt Engineering, RAG &amp; Knowledge Graphs, Zero-Hallucination Frameworks, Financial Document Parsing (PyMuPDF, openpyxl, curl_cffi), NLP Intent Classification (NLTK, Keras).</w:t>
      </w:r>
    </w:p>
    <w:p w14:paraId="373EF669" w14:textId="1D8E2F97"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Enterprise ERP &amp; Core Systems: </w:t>
      </w:r>
      <w:r>
        <w:rPr>
          <w:rFonts w:ascii="Calibri" w:hAnsi="Calibri" w:cs="Calibri"/>
          <w:color w:val="554133"/>
          <w:sz w:val="18"/>
        </w:rPr>
        <w:t>Oracle E-Business Suite (EBS) Financials &amp; AR Aging, Oracle NetSuite (SuiteScript), Confins (Finance Lease ERP), Odoo ERP, JIRA Enterprise.</w:t>
      </w:r>
    </w:p>
    <w:p w14:paraId="755AE6ED" w14:textId="7C68B6E0"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Backend &amp; Software Engineering: </w:t>
      </w:r>
      <w:r>
        <w:rPr>
          <w:rFonts w:ascii="Calibri" w:hAnsi="Calibri" w:cs="Calibri"/>
          <w:color w:val="554133"/>
          <w:sz w:val="18"/>
        </w:rPr>
        <w:t>NestJS, Laravel 11, Express.js, Python, PHP, RESTful APIs, 3-Way Matching Algorithms, Microservices Architecture, Docker &amp; Docker Compose.</w:t>
      </w:r>
    </w:p>
    <w:p w14:paraId="2C5944CE" w14:textId="72E9AFEA"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Database Architecture &amp; Modeling: </w:t>
      </w:r>
      <w:r>
        <w:rPr>
          <w:rFonts w:ascii="Calibri" w:hAnsi="Calibri" w:cs="Calibri"/>
          <w:color w:val="554133"/>
          <w:sz w:val="18"/>
        </w:rPr>
        <w:t>PostgreSQL 16, Oracle DB, MySQL, MariaDB, MS SQL Server, ERD Modeling, Schema Normalization, Query Indexing Optimization.</w:t>
      </w:r>
    </w:p>
    <w:p w14:paraId="6D938AD0" w14:textId="3E14AA5A"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System Analysis &amp; Governance: </w:t>
      </w:r>
      <w:r>
        <w:rPr>
          <w:rFonts w:ascii="Calibri" w:hAnsi="Calibri" w:cs="Calibri"/>
          <w:color w:val="554133"/>
          <w:sz w:val="18"/>
        </w:rPr>
        <w:t>UML, BPMN 2.0, User Acceptance Testing (UAT), Business Process Re-engineering (BPR), SHA-256 Audit Trail Ledgers, SOP Documentation.</w:t>
      </w:r>
    </w:p>
    <w:p w14:paraId="33518483" w14:textId="59555281" w:rsidR="00453085" w:rsidRDefault="00453085" w:rsidP="00453085">
      <w:pPr>
        <w:pBdr>
          <w:bottom w:val="single" w:sz="12" w:space="1" w:color="EB6325"/>
        </w:pBdr>
        <w:spacing w:before="140" w:after="40"/>
        <w:rPr>
          <w:rFonts w:ascii="Calibri" w:hAnsi="Calibri" w:cs="Calibri"/>
          <w:b/>
          <w:color w:val="2A170F"/>
        </w:rPr>
      </w:pPr>
      <w:r>
        <w:rPr>
          <w:rFonts w:ascii="Calibri" w:hAnsi="Calibri" w:cs="Calibri"/>
          <w:b/>
          <w:color w:val="2A170F"/>
        </w:rPr>
        <w:t>PROFESSIONAL WORK EXPERIENCE</w:t>
      </w:r>
    </w:p>
    <w:p w14:paraId="10139673" w14:textId="6524CD11" w:rsidR="00453085" w:rsidRDefault="00453085" w:rsidP="00453085">
      <w:pPr>
        <w:spacing w:before="80" w:after="20"/>
        <w:rPr>
          <w:rFonts w:ascii="Calibri" w:hAnsi="Calibri" w:cs="Calibri"/>
          <w:i/>
          <w:color w:val="8B7464"/>
          <w:sz w:val="20"/>
        </w:rPr>
      </w:pPr>
      <w:r>
        <w:rPr>
          <w:rFonts w:ascii="Calibri" w:hAnsi="Calibri" w:cs="Calibri"/>
          <w:b/>
          <w:color w:val="2A170F"/>
          <w:sz w:val="20"/>
        </w:rPr>
        <w:t>PT Rapex Wahana Global (RPX Group) - Jakarta, Indonesia</w:t>
      </w:r>
      <w:r>
        <w:rPr>
          <w:rFonts w:ascii="Calibri" w:hAnsi="Calibri" w:cs="Calibri"/>
          <w:i/>
          <w:color w:val="8B7464"/>
          <w:sz w:val="20"/>
        </w:rPr>
        <w:t xml:space="preserve">   |   August 2025 - Present</w:t>
      </w:r>
    </w:p>
    <w:p w14:paraId="46908E5E" w14:textId="32B2871D" w:rsidR="00453085" w:rsidRDefault="00453085" w:rsidP="00453085">
      <w:pPr>
        <w:spacing w:before="80" w:after="20"/>
        <w:rPr>
          <w:rFonts w:ascii="Calibri" w:hAnsi="Calibri" w:cs="Calibri"/>
          <w:b/>
          <w:color w:val="EB6325"/>
          <w:sz w:val="19"/>
        </w:rPr>
      </w:pPr>
      <w:r>
        <w:rPr>
          <w:rFonts w:ascii="Calibri" w:hAnsi="Calibri" w:cs="Calibri"/>
          <w:b/>
          <w:color w:val="EB6325"/>
          <w:sz w:val="19"/>
        </w:rPr>
        <w:t>System Architect</w:t>
      </w:r>
    </w:p>
    <w:p w14:paraId="4FCEBDE1" w14:textId="1AC7F046"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Enterprise Credit Limit &amp; AR Integration: </w:t>
      </w:r>
      <w:r>
        <w:rPr>
          <w:rFonts w:ascii="Calibri" w:hAnsi="Calibri" w:cs="Calibri"/>
          <w:color w:val="554133"/>
          <w:sz w:val="18"/>
        </w:rPr>
        <w:t>Architected an automated real-time credit limit evaluation system connecting Oracle EBS AR Aging reports with core customer master data. Aggregated outstanding receivables with unbilled operational services across Express and Freight Strategic Business Units (SBUs).</w:t>
      </w:r>
    </w:p>
    <w:p w14:paraId="16C4F782" w14:textId="7B29E8E8"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Real-Time Operational Blocking Engine: </w:t>
      </w:r>
      <w:r>
        <w:rPr>
          <w:rFonts w:ascii="Calibri" w:hAnsi="Calibri" w:cs="Calibri"/>
          <w:color w:val="554133"/>
          <w:sz w:val="18"/>
        </w:rPr>
        <w:t>Designed and deployed pre-save transaction blocking and status validation across corporate point-of-sale (POS) and logistics manifest applications, instantly restricting credit bookings when corporate accounts exceed financial limits or breach overdue dunning thresholds.</w:t>
      </w:r>
    </w:p>
    <w:p w14:paraId="4C709D6F" w14:textId="05169473"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Multi-Tiered Exception Framework: </w:t>
      </w:r>
      <w:r>
        <w:rPr>
          <w:rFonts w:ascii="Calibri" w:hAnsi="Calibri" w:cs="Calibri"/>
          <w:color w:val="554133"/>
          <w:sz w:val="18"/>
        </w:rPr>
        <w:t>Developed a resilient FTP-ingested exception architecture executing hierarchical validation across Invoice, Account, and SBU levels, safeguarding multi-billion contract relationships with Major Account Management (MAM) clients while preventing unauthorized manual credit limit overrides.</w:t>
      </w:r>
    </w:p>
    <w:p w14:paraId="7A101192" w14:textId="0455693D" w:rsidR="00453085" w:rsidRDefault="00453085" w:rsidP="00453085">
      <w:pPr>
        <w:spacing w:before="80" w:after="20"/>
        <w:rPr>
          <w:rFonts w:ascii="Calibri" w:hAnsi="Calibri" w:cs="Calibri"/>
          <w:i/>
          <w:color w:val="8B7464"/>
          <w:sz w:val="20"/>
        </w:rPr>
      </w:pPr>
      <w:r>
        <w:rPr>
          <w:rFonts w:ascii="Calibri" w:hAnsi="Calibri" w:cs="Calibri"/>
          <w:b/>
          <w:color w:val="2A170F"/>
          <w:sz w:val="20"/>
        </w:rPr>
        <w:t>PT Buana Finance Tbk - Jakarta, Indonesia</w:t>
      </w:r>
      <w:r>
        <w:rPr>
          <w:rFonts w:ascii="Calibri" w:hAnsi="Calibri" w:cs="Calibri"/>
          <w:i/>
          <w:color w:val="8B7464"/>
          <w:sz w:val="20"/>
        </w:rPr>
        <w:t xml:space="preserve">   |   February 2025 - August 2025</w:t>
      </w:r>
    </w:p>
    <w:p w14:paraId="7EAC52B3" w14:textId="33ED9969" w:rsidR="00453085" w:rsidRDefault="00453085" w:rsidP="00453085">
      <w:pPr>
        <w:spacing w:before="80" w:after="20"/>
        <w:rPr>
          <w:rFonts w:ascii="Calibri" w:hAnsi="Calibri" w:cs="Calibri"/>
          <w:b/>
          <w:color w:val="EB6325"/>
          <w:sz w:val="19"/>
        </w:rPr>
      </w:pPr>
      <w:r>
        <w:rPr>
          <w:rFonts w:ascii="Calibri" w:hAnsi="Calibri" w:cs="Calibri"/>
          <w:b/>
          <w:color w:val="EB6325"/>
          <w:sz w:val="19"/>
        </w:rPr>
        <w:t>Technical Consultant</w:t>
      </w:r>
    </w:p>
    <w:p w14:paraId="067776C7" w14:textId="5C888465"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Core ERP System Integration: </w:t>
      </w:r>
      <w:r>
        <w:rPr>
          <w:rFonts w:ascii="Calibri" w:hAnsi="Calibri" w:cs="Calibri"/>
          <w:color w:val="554133"/>
          <w:sz w:val="18"/>
        </w:rPr>
        <w:t>Analyzed, customized, and integrated business processes between Oracle NetSuite ERP and the core multi-finance leasing engine (Confins), ensuring regulatory and financial leasing compliance.</w:t>
      </w:r>
    </w:p>
    <w:p w14:paraId="0C53D52C" w14:textId="5C6B779D"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UAT &amp; Mobile Applications Rollout: </w:t>
      </w:r>
      <w:r>
        <w:rPr>
          <w:rFonts w:ascii="Calibri" w:hAnsi="Calibri" w:cs="Calibri"/>
          <w:color w:val="554133"/>
          <w:sz w:val="18"/>
        </w:rPr>
        <w:t>Spearheaded comprehensive User Acceptance Testing (UAT) cycles and delivered interactive end-user training for Confins and field operations mobile applications (MOS &amp; MSS).</w:t>
      </w:r>
    </w:p>
    <w:p w14:paraId="0DBB53BB" w14:textId="7EB7C0C6"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Production Go-Live &amp; Defect Resolution: </w:t>
      </w:r>
      <w:r>
        <w:rPr>
          <w:rFonts w:ascii="Calibri" w:hAnsi="Calibri" w:cs="Calibri"/>
          <w:color w:val="554133"/>
          <w:sz w:val="18"/>
        </w:rPr>
        <w:t>Supervised system cutover, post-implementation debugging, and rapid issue resolution during Go-Live, producing end-to-end technical documentation.</w:t>
      </w:r>
    </w:p>
    <w:p w14:paraId="33F27F30" w14:textId="7D388AD1" w:rsidR="00453085" w:rsidRDefault="00453085" w:rsidP="00453085">
      <w:pPr>
        <w:spacing w:before="80" w:after="20"/>
        <w:rPr>
          <w:rFonts w:ascii="Calibri" w:hAnsi="Calibri" w:cs="Calibri"/>
          <w:i/>
          <w:color w:val="8B7464"/>
          <w:sz w:val="20"/>
        </w:rPr>
      </w:pPr>
      <w:r>
        <w:rPr>
          <w:rFonts w:ascii="Calibri" w:hAnsi="Calibri" w:cs="Calibri"/>
          <w:b/>
          <w:color w:val="2A170F"/>
          <w:sz w:val="20"/>
        </w:rPr>
        <w:t>Hand International Pte. Ltd - Jakarta, Indonesia</w:t>
      </w:r>
      <w:r>
        <w:rPr>
          <w:rFonts w:ascii="Calibri" w:hAnsi="Calibri" w:cs="Calibri"/>
          <w:i/>
          <w:color w:val="8B7464"/>
          <w:sz w:val="20"/>
        </w:rPr>
        <w:t xml:space="preserve">   |   April 2024 - March 2025</w:t>
      </w:r>
    </w:p>
    <w:p w14:paraId="10790BF3" w14:textId="0ECC2659" w:rsidR="00453085" w:rsidRDefault="00453085" w:rsidP="00453085">
      <w:pPr>
        <w:spacing w:before="80" w:after="20"/>
        <w:rPr>
          <w:rFonts w:ascii="Calibri" w:hAnsi="Calibri" w:cs="Calibri"/>
          <w:b/>
          <w:color w:val="EB6325"/>
          <w:sz w:val="19"/>
        </w:rPr>
      </w:pPr>
      <w:r>
        <w:rPr>
          <w:rFonts w:ascii="Calibri" w:hAnsi="Calibri" w:cs="Calibri"/>
          <w:b/>
          <w:color w:val="EB6325"/>
          <w:sz w:val="19"/>
        </w:rPr>
        <w:t>Oracle NetSuite Technical Consultant</w:t>
      </w:r>
    </w:p>
    <w:p w14:paraId="01858F6B" w14:textId="34BFCF52"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SuiteScript ERP Customization: </w:t>
      </w:r>
      <w:r>
        <w:rPr>
          <w:rFonts w:ascii="Calibri" w:hAnsi="Calibri" w:cs="Calibri"/>
          <w:color w:val="554133"/>
          <w:sz w:val="18"/>
        </w:rPr>
        <w:t>Delivered custom NetSuite ERP solutions and SuiteScript customizations aligning procurement, order management, and general ledger workflows with client enterprise specifications.</w:t>
      </w:r>
    </w:p>
    <w:p w14:paraId="2386AB73" w14:textId="26D54C49"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System Optimization: </w:t>
      </w:r>
      <w:r>
        <w:rPr>
          <w:rFonts w:ascii="Calibri" w:hAnsi="Calibri" w:cs="Calibri"/>
          <w:color w:val="554133"/>
          <w:sz w:val="18"/>
        </w:rPr>
        <w:t>Optimized database queries and script performance, enhancing daily transaction throughput and reporting speeds.</w:t>
      </w:r>
    </w:p>
    <w:p w14:paraId="2119B998" w14:textId="58512621"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Global Project Assignment - Trina Solar Co., Ltd (Changzhou, China | July 2024 - August 2024): </w:t>
      </w:r>
      <w:r>
        <w:rPr>
          <w:rFonts w:ascii="Calibri" w:hAnsi="Calibri" w:cs="Calibri"/>
          <w:color w:val="554133"/>
          <w:sz w:val="18"/>
        </w:rPr>
        <w:t>Deployed on-site to Trina Solar's global manufacturing facility to engineer industrial IoT data pipelines utilizing Thingworx and Kepware architectures. Connected smart shopfloor machinery with enterprise data layers, processing streaming telemetry that directly contributed to reducing machine downtime.</w:t>
      </w:r>
    </w:p>
    <w:p w14:paraId="33F0F8FE" w14:textId="3E8CFD78" w:rsidR="00453085" w:rsidRDefault="00453085" w:rsidP="00453085">
      <w:pPr>
        <w:pBdr>
          <w:bottom w:val="single" w:sz="12" w:space="1" w:color="EB6325"/>
        </w:pBdr>
        <w:spacing w:before="140" w:after="40"/>
        <w:rPr>
          <w:rFonts w:ascii="Calibri" w:hAnsi="Calibri" w:cs="Calibri"/>
          <w:b/>
          <w:color w:val="2A170F"/>
        </w:rPr>
      </w:pPr>
      <w:r>
        <w:rPr>
          <w:rFonts w:ascii="Calibri" w:hAnsi="Calibri" w:cs="Calibri"/>
          <w:b/>
          <w:color w:val="2A170F"/>
        </w:rPr>
        <w:t>FEATURED ENGINEERING PROJECTS</w:t>
      </w:r>
    </w:p>
    <w:p w14:paraId="7CAFF96B" w14:textId="1BE71749"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AlphaDigest - Autonomous IDX Financial Intelligence Swarm (2026): </w:t>
      </w:r>
      <w:r>
        <w:rPr>
          <w:rFonts w:ascii="Calibri" w:hAnsi="Calibri" w:cs="Calibri"/>
          <w:color w:val="554133"/>
          <w:sz w:val="18"/>
        </w:rPr>
        <w:t>Engineered an end-to-end multi-agent swarm of 8 specialized personas for autonomous IDX/BEI financial statement analysis. Built a Non-Rigid 3-Layer Extraction Engine adapted across 10 sectors (Banking NIM/NPL, Mining Strip Ratio, Property Landbank) and a 3-Stage DCF valuation engine natively outputting to Obsidian Knowledge Graphs. Tech: Python, PyMuPDF, curl_cffi, Multi-Agent Swarm, Obsidian API.</w:t>
      </w:r>
    </w:p>
    <w:p w14:paraId="245897F0" w14:textId="615F61C3"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VeriMatch Enterprise - Accounts Payable Intelligence &amp; 3-Way Match (2026): </w:t>
      </w:r>
      <w:r>
        <w:rPr>
          <w:rFonts w:ascii="Calibri" w:hAnsi="Calibri" w:cs="Calibri"/>
          <w:color w:val="554133"/>
          <w:sz w:val="18"/>
        </w:rPr>
        <w:t>Architected an enterprise 3-Way Matching engine (PO vs. GRN vs. Invoice) featuring a 5-factor forensic decision algorithm that achieved a 94.2% automated approval rate, mitigating over-billing leakage with an immutable SHA-256 cryptographic ledger. Tech: NestJS, PostgreSQL 16, TypeScript, Docker.</w:t>
      </w:r>
    </w:p>
    <w:p w14:paraId="789DF538" w14:textId="46DEB484"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Personal Diary OS - Self-Hosted Markdown Memory OS (2026): </w:t>
      </w:r>
      <w:r>
        <w:rPr>
          <w:rFonts w:ascii="Calibri" w:hAnsi="Calibri" w:cs="Calibri"/>
          <w:color w:val="554133"/>
          <w:sz w:val="18"/>
        </w:rPr>
        <w:t>Built a private, invite-only self-hosted journaling platform with sub-second retrieval, instant auto-saving (&lt;101ms), semantic memory graph, and zero-loss drafting synchronization. Tech: Node.js, SQLite, Markdown-Native.</w:t>
      </w:r>
    </w:p>
    <w:p w14:paraId="2749A9D6" w14:textId="50054770" w:rsidR="00453085" w:rsidRDefault="00453085" w:rsidP="00453085">
      <w:pPr>
        <w:pBdr>
          <w:bottom w:val="single" w:sz="12" w:space="1" w:color="EB6325"/>
        </w:pBdr>
        <w:spacing w:before="140" w:after="40"/>
        <w:rPr>
          <w:rFonts w:ascii="Calibri" w:hAnsi="Calibri" w:cs="Calibri"/>
          <w:b/>
          <w:color w:val="2A170F"/>
        </w:rPr>
      </w:pPr>
      <w:r>
        <w:rPr>
          <w:rFonts w:ascii="Calibri" w:hAnsi="Calibri" w:cs="Calibri"/>
          <w:b/>
          <w:color w:val="2A170F"/>
        </w:rPr>
        <w:t>FORMAL EDUCATION</w:t>
      </w:r>
    </w:p>
    <w:p w14:paraId="111B5C34" w14:textId="44934832" w:rsidR="00453085" w:rsidRDefault="00453085" w:rsidP="00453085">
      <w:pPr>
        <w:spacing w:before="80" w:after="20"/>
        <w:rPr>
          <w:rFonts w:ascii="Calibri" w:hAnsi="Calibri" w:cs="Calibri"/>
          <w:i/>
          <w:color w:val="8B7464"/>
          <w:sz w:val="20"/>
        </w:rPr>
      </w:pPr>
      <w:r>
        <w:rPr>
          <w:rFonts w:ascii="Calibri" w:hAnsi="Calibri" w:cs="Calibri"/>
          <w:b/>
          <w:color w:val="2A170F"/>
          <w:sz w:val="20"/>
        </w:rPr>
        <w:t>Politeknik STMI Jakarta - Jakarta, Indonesia</w:t>
      </w:r>
      <w:r>
        <w:rPr>
          <w:rFonts w:ascii="Calibri" w:hAnsi="Calibri" w:cs="Calibri"/>
          <w:i/>
          <w:color w:val="8B7464"/>
          <w:sz w:val="20"/>
        </w:rPr>
        <w:t xml:space="preserve">   |   September 2020 - August 2024</w:t>
      </w:r>
    </w:p>
    <w:p w14:paraId="42A2B428" w14:textId="76E63360" w:rsidR="00453085" w:rsidRDefault="00453085" w:rsidP="00453085">
      <w:pPr>
        <w:spacing w:before="80" w:after="20"/>
        <w:rPr>
          <w:rFonts w:ascii="Calibri" w:hAnsi="Calibri" w:cs="Calibri"/>
          <w:b/>
          <w:color w:val="EB6325"/>
          <w:sz w:val="19"/>
        </w:rPr>
      </w:pPr>
      <w:r>
        <w:rPr>
          <w:rFonts w:ascii="Calibri" w:hAnsi="Calibri" w:cs="Calibri"/>
          <w:b/>
          <w:color w:val="EB6325"/>
          <w:sz w:val="19"/>
        </w:rPr>
        <w:t>Bachelor of Applied Science in Information Systems (S.Tr.Kom)</w:t>
      </w:r>
    </w:p>
    <w:p w14:paraId="600B73BB" w14:textId="31594A7A" w:rsidR="00453085" w:rsidRDefault="00453085" w:rsidP="00453085">
      <w:pPr>
        <w:spacing w:after="50"/>
        <w:ind w:left="240"/>
        <w:jc w:val="both"/>
        <w:rPr>
          <w:rFonts w:ascii="Calibri" w:hAnsi="Calibri" w:cs="Calibri"/>
          <w:color w:val="554133"/>
          <w:sz w:val="18"/>
        </w:rPr>
      </w:pPr>
      <w:r>
        <w:rPr>
          <w:rFonts w:ascii="Calibri" w:hAnsi="Calibri" w:cs="Calibri"/>
          <w:color w:val="EB6325"/>
          <w:sz w:val="18"/>
        </w:rPr>
        <w:t xml:space="preserve">• </w:t>
      </w:r>
      <w:r>
        <w:rPr>
          <w:rFonts w:ascii="Calibri" w:hAnsi="Calibri" w:cs="Calibri"/>
          <w:b/>
          <w:color w:val="2A170F"/>
          <w:sz w:val="18"/>
        </w:rPr>
        <w:t xml:space="preserve">Academic Performance: </w:t>
      </w:r>
      <w:r>
        <w:rPr>
          <w:rFonts w:ascii="Calibri" w:hAnsi="Calibri" w:cs="Calibri"/>
          <w:color w:val="554133"/>
          <w:sz w:val="18"/>
        </w:rPr>
        <w:t>Cumulative GPA: 3.58 / 4.00 (Graduated with Honors / Sangat Memuaskan). Focus on Enterprise Information Systems, Database Engineering, and Software Integration Architecture.</w:t>
      </w:r>
    </w:p>
    <w:p w14:paraId="7608C09B" w14:textId="77777777" w:rsidR="00453085" w:rsidRPr="00453085" w:rsidRDefault="00453085" w:rsidP="00453085">
      <w:pPr>
        <w:spacing w:after="50"/>
        <w:jc w:val="both"/>
        <w:rPr>
          <w:rFonts w:ascii="Calibri" w:hAnsi="Calibri" w:cs="Calibri"/>
          <w:color w:val="554133"/>
          <w:sz w:val="18"/>
        </w:rPr>
      </w:pPr>
    </w:p>
    <w:sectPr w:rsidR="00453085" w:rsidRPr="00453085" w:rsidSect="00453085">
      <w:pgSz w:w="11906" w:h="16838"/>
      <w:pgMar w:top="760" w:right="840" w:bottom="76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085"/>
    <w:rsid w:val="00024FB2"/>
    <w:rsid w:val="00453085"/>
    <w:rsid w:val="00720D06"/>
    <w:rsid w:val="00821D35"/>
    <w:rsid w:val="008F7407"/>
    <w:rsid w:val="00912039"/>
    <w:rsid w:val="00C72251"/>
    <w:rsid w:val="00E534A3"/>
    <w:rsid w:val="00FD03B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32966"/>
  <w15:chartTrackingRefBased/>
  <w15:docId w15:val="{167806CC-50EB-42C9-98AD-4598B729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0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0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0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0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0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0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0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0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0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0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085"/>
    <w:rPr>
      <w:rFonts w:eastAsiaTheme="majorEastAsia" w:cstheme="majorBidi"/>
      <w:color w:val="272727" w:themeColor="text1" w:themeTint="D8"/>
    </w:rPr>
  </w:style>
  <w:style w:type="paragraph" w:styleId="Title">
    <w:name w:val="Title"/>
    <w:basedOn w:val="Normal"/>
    <w:next w:val="Normal"/>
    <w:link w:val="TitleChar"/>
    <w:uiPriority w:val="10"/>
    <w:qFormat/>
    <w:rsid w:val="00453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085"/>
    <w:pPr>
      <w:spacing w:before="160"/>
      <w:jc w:val="center"/>
    </w:pPr>
    <w:rPr>
      <w:i/>
      <w:iCs/>
      <w:color w:val="404040" w:themeColor="text1" w:themeTint="BF"/>
    </w:rPr>
  </w:style>
  <w:style w:type="character" w:customStyle="1" w:styleId="QuoteChar">
    <w:name w:val="Quote Char"/>
    <w:basedOn w:val="DefaultParagraphFont"/>
    <w:link w:val="Quote"/>
    <w:uiPriority w:val="29"/>
    <w:rsid w:val="00453085"/>
    <w:rPr>
      <w:i/>
      <w:iCs/>
      <w:color w:val="404040" w:themeColor="text1" w:themeTint="BF"/>
    </w:rPr>
  </w:style>
  <w:style w:type="paragraph" w:styleId="ListParagraph">
    <w:name w:val="List Paragraph"/>
    <w:basedOn w:val="Normal"/>
    <w:uiPriority w:val="34"/>
    <w:qFormat/>
    <w:rsid w:val="00453085"/>
    <w:pPr>
      <w:ind w:left="720"/>
      <w:contextualSpacing/>
    </w:pPr>
  </w:style>
  <w:style w:type="character" w:styleId="IntenseEmphasis">
    <w:name w:val="Intense Emphasis"/>
    <w:basedOn w:val="DefaultParagraphFont"/>
    <w:uiPriority w:val="21"/>
    <w:qFormat/>
    <w:rsid w:val="00453085"/>
    <w:rPr>
      <w:i/>
      <w:iCs/>
      <w:color w:val="2F5496" w:themeColor="accent1" w:themeShade="BF"/>
    </w:rPr>
  </w:style>
  <w:style w:type="paragraph" w:styleId="IntenseQuote">
    <w:name w:val="Intense Quote"/>
    <w:basedOn w:val="Normal"/>
    <w:next w:val="Normal"/>
    <w:link w:val="IntenseQuoteChar"/>
    <w:uiPriority w:val="30"/>
    <w:qFormat/>
    <w:rsid w:val="004530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085"/>
    <w:rPr>
      <w:i/>
      <w:iCs/>
      <w:color w:val="2F5496" w:themeColor="accent1" w:themeShade="BF"/>
    </w:rPr>
  </w:style>
  <w:style w:type="character" w:styleId="IntenseReference">
    <w:name w:val="Intense Reference"/>
    <w:basedOn w:val="DefaultParagraphFont"/>
    <w:uiPriority w:val="32"/>
    <w:qFormat/>
    <w:rsid w:val="004530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5319</Characters>
  <Application>Microsoft Office Word</Application>
  <DocSecurity>0</DocSecurity>
  <Lines>44</Lines>
  <Paragraphs>12</Paragraphs>
  <ScaleCrop>false</ScaleCrop>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Bowo Lime</dc:creator>
  <cp:keywords/>
  <dc:description/>
  <cp:lastModifiedBy>Bowo Lime</cp:lastModifiedBy>
  <cp:revision>1</cp:revision>
  <dcterms:created xsi:type="dcterms:W3CDTF">2026-10-12T07:04:00Z</dcterms:created>
  <dcterms:modified xsi:type="dcterms:W3CDTF">2026-10-12T07:04:00Z</dcterms:modified>
</cp:coreProperties>
</file>