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2DA8" w14:textId="77777777" w:rsidR="00A95BCB" w:rsidRPr="003F13B1" w:rsidRDefault="00A95BCB" w:rsidP="00086E10">
      <w:pPr>
        <w:pStyle w:val="Zaglavljenaslovnestrane"/>
        <w:rPr>
          <w:rFonts w:ascii="Times New Roman" w:hAnsi="Times New Roman"/>
          <w:lang w:val="sr-Cyrl-CS"/>
        </w:rPr>
      </w:pPr>
      <w:bookmarkStart w:id="0" w:name="_Hlk211436091"/>
      <w:bookmarkEnd w:id="0"/>
      <w:r>
        <w:rPr>
          <w:rFonts w:ascii="Times New Roman" w:hAnsi="Times New Roman"/>
          <w:lang w:val="sr-Cyrl-CS"/>
        </w:rPr>
        <w:t>Универзитет у Београду</w:t>
      </w:r>
    </w:p>
    <w:p w14:paraId="525F39F5" w14:textId="77777777" w:rsidR="00A95BCB" w:rsidRPr="003F13B1" w:rsidRDefault="00A95BCB" w:rsidP="00086E10">
      <w:pPr>
        <w:pStyle w:val="Zaglavljenaslovnestrane"/>
        <w:rPr>
          <w:rFonts w:ascii="Times New Roman" w:hAnsi="Times New Roman"/>
          <w:lang w:val="sr-Cyrl-CS"/>
        </w:rPr>
      </w:pPr>
      <w:r>
        <w:rPr>
          <w:rFonts w:ascii="Times New Roman" w:hAnsi="Times New Roman"/>
          <w:lang w:val="sr-Cyrl-CS"/>
        </w:rPr>
        <w:t>Електротехнички факултет</w:t>
      </w:r>
    </w:p>
    <w:p w14:paraId="2A3F4120" w14:textId="77777777" w:rsidR="00A95BCB" w:rsidRPr="003F13B1" w:rsidRDefault="00A95BCB" w:rsidP="00086E10">
      <w:pPr>
        <w:pStyle w:val="Osnovnitekst"/>
        <w:jc w:val="center"/>
        <w:rPr>
          <w:lang w:val="sr-Cyrl-CS"/>
        </w:rPr>
      </w:pPr>
    </w:p>
    <w:p w14:paraId="57B22949" w14:textId="77777777" w:rsidR="00A95BCB" w:rsidRPr="003F13B1" w:rsidRDefault="00A95BCB" w:rsidP="00086E10">
      <w:pPr>
        <w:pStyle w:val="Osnovnitekst"/>
        <w:jc w:val="center"/>
        <w:rPr>
          <w:lang w:val="sr-Cyrl-CS"/>
        </w:rPr>
      </w:pPr>
    </w:p>
    <w:p w14:paraId="68E6CC5B" w14:textId="77777777" w:rsidR="00A95BCB" w:rsidRPr="003F13B1" w:rsidRDefault="00A95BCB" w:rsidP="00086E10">
      <w:pPr>
        <w:pStyle w:val="SlikeTabele"/>
        <w:rPr>
          <w:lang w:val="sr-Cyrl-CS"/>
        </w:rPr>
      </w:pPr>
      <w:r>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793A9C0B" w14:textId="77777777" w:rsidR="00A95BCB" w:rsidRPr="003F13B1" w:rsidRDefault="00A95BCB" w:rsidP="00086E10">
      <w:pPr>
        <w:pStyle w:val="Osnovnitekst"/>
        <w:ind w:firstLine="0"/>
        <w:jc w:val="center"/>
        <w:rPr>
          <w:lang w:val="sr-Cyrl-CS"/>
        </w:rPr>
      </w:pPr>
    </w:p>
    <w:p w14:paraId="58813BCB" w14:textId="77777777" w:rsidR="00A95BCB" w:rsidRPr="003F13B1" w:rsidRDefault="00A95BCB" w:rsidP="00086E10">
      <w:pPr>
        <w:pStyle w:val="Osnovnitekst"/>
        <w:ind w:firstLine="0"/>
        <w:jc w:val="center"/>
        <w:rPr>
          <w:lang w:val="sr-Cyrl-CS"/>
        </w:rPr>
      </w:pPr>
    </w:p>
    <w:p w14:paraId="70DFC6DD" w14:textId="77777777" w:rsidR="00A95BCB" w:rsidRPr="003F13B1" w:rsidRDefault="00A95BCB" w:rsidP="00086E10">
      <w:pPr>
        <w:pStyle w:val="Naslovteze"/>
        <w:rPr>
          <w:rFonts w:ascii="Times New Roman" w:hAnsi="Times New Roman"/>
        </w:rPr>
      </w:pPr>
      <w:r>
        <w:rPr>
          <w:rFonts w:ascii="Times New Roman" w:hAnsi="Times New Roman"/>
        </w:rPr>
        <w:t>Класификација политичких ставова у коментарима на друштвеним мрежама о студентским протестима у Србији</w:t>
      </w:r>
    </w:p>
    <w:p w14:paraId="53DD109C" w14:textId="77777777" w:rsidR="00A95BCB" w:rsidRPr="003F13B1" w:rsidRDefault="00A95BCB" w:rsidP="00086E10">
      <w:pPr>
        <w:pStyle w:val="Podnaslovteze"/>
        <w:rPr>
          <w:rFonts w:ascii="Times New Roman" w:hAnsi="Times New Roman"/>
          <w:sz w:val="28"/>
          <w:lang w:val="sr-Cyrl-CS"/>
        </w:rPr>
      </w:pPr>
      <w:r>
        <w:rPr>
          <w:rFonts w:ascii="Times New Roman" w:hAnsi="Times New Roman"/>
          <w:sz w:val="28"/>
          <w:lang w:val="sr-Cyrl-CS"/>
        </w:rPr>
        <w:t>Предмет: Обрада природних језика</w:t>
      </w:r>
    </w:p>
    <w:p w14:paraId="62D3021E" w14:textId="77777777" w:rsidR="00A95BCB" w:rsidRPr="003F13B1" w:rsidRDefault="00A95BCB" w:rsidP="00086E10">
      <w:pPr>
        <w:pStyle w:val="Osnovnitekst"/>
        <w:jc w:val="right"/>
        <w:rPr>
          <w:lang w:val="sr-Cyrl-CS"/>
        </w:rPr>
      </w:pPr>
    </w:p>
    <w:p w14:paraId="540523BF" w14:textId="77777777" w:rsidR="00A95BCB" w:rsidRPr="003F13B1" w:rsidRDefault="00A95BCB" w:rsidP="00086E10">
      <w:pPr>
        <w:pStyle w:val="Osnovnitekst"/>
        <w:jc w:val="right"/>
        <w:rPr>
          <w:sz w:val="28"/>
          <w:lang w:val="sr-Cyrl-CS"/>
        </w:rPr>
      </w:pPr>
      <w:r>
        <w:rPr>
          <w:sz w:val="28"/>
          <w:lang w:val="sr-Cyrl-CS"/>
        </w:rPr>
        <w:t>Студенти:</w:t>
      </w:r>
    </w:p>
    <w:p w14:paraId="643930F9" w14:textId="77777777" w:rsidR="00A95BCB" w:rsidRPr="003F13B1" w:rsidRDefault="00A95BCB" w:rsidP="00086E10">
      <w:pPr>
        <w:pStyle w:val="Osnovnitekst"/>
        <w:jc w:val="right"/>
        <w:rPr>
          <w:sz w:val="28"/>
          <w:lang w:val="sr-Cyrl-CS"/>
        </w:rPr>
      </w:pPr>
      <w:r>
        <w:rPr>
          <w:sz w:val="28"/>
          <w:lang w:val="sr-Cyrl-CS"/>
        </w:rPr>
        <w:t>Наталија Богдановић 2025/3382</w:t>
      </w:r>
    </w:p>
    <w:p w14:paraId="0118B174" w14:textId="77777777" w:rsidR="00A95BCB" w:rsidRPr="003F13B1" w:rsidRDefault="00A95BCB" w:rsidP="00086E10">
      <w:pPr>
        <w:pStyle w:val="Osnovnitekst"/>
        <w:jc w:val="right"/>
        <w:rPr>
          <w:sz w:val="28"/>
          <w:lang w:val="en-US"/>
        </w:rPr>
      </w:pPr>
      <w:r>
        <w:rPr>
          <w:sz w:val="28"/>
        </w:rPr>
        <w:t xml:space="preserve">Никола Бабић </w:t>
      </w:r>
      <w:r>
        <w:rPr>
          <w:sz w:val="28"/>
          <w:lang w:val="en-US"/>
        </w:rPr>
        <w:t>2025/3398</w:t>
      </w:r>
    </w:p>
    <w:p w14:paraId="2B5C5F52" w14:textId="77777777" w:rsidR="00A95BCB" w:rsidRPr="003F13B1" w:rsidRDefault="00A95BCB" w:rsidP="00086E10">
      <w:pPr>
        <w:pStyle w:val="Osnovnitekst"/>
        <w:jc w:val="right"/>
        <w:rPr>
          <w:sz w:val="28"/>
          <w:lang w:val="en-US"/>
        </w:rPr>
      </w:pPr>
      <w:r>
        <w:rPr>
          <w:sz w:val="28"/>
        </w:rPr>
        <w:t xml:space="preserve">Марија Јевтић </w:t>
      </w:r>
      <w:r>
        <w:rPr>
          <w:sz w:val="28"/>
          <w:lang w:val="en-US"/>
        </w:rPr>
        <w:t>2025/3202</w:t>
      </w:r>
    </w:p>
    <w:p w14:paraId="11C19EC4" w14:textId="77777777" w:rsidR="00A95BCB" w:rsidRPr="003F13B1" w:rsidRDefault="00A95BCB" w:rsidP="00086E10">
      <w:pPr>
        <w:pStyle w:val="Osnovnitekst"/>
        <w:jc w:val="right"/>
        <w:rPr>
          <w:sz w:val="28"/>
          <w:lang w:val="sr-Cyrl-CS"/>
        </w:rPr>
      </w:pPr>
      <w:r>
        <w:rPr>
          <w:sz w:val="28"/>
          <w:lang w:val="sr-Cyrl-CS"/>
        </w:rPr>
        <w:t>Ана Булатовић 2025/3046</w:t>
      </w:r>
    </w:p>
    <w:p w14:paraId="4BF4793E" w14:textId="77777777" w:rsidR="00A95BCB" w:rsidRPr="003F13B1" w:rsidRDefault="00A95BCB" w:rsidP="00086E10">
      <w:pPr>
        <w:pStyle w:val="Osnovnitekst"/>
        <w:rPr>
          <w:sz w:val="28"/>
          <w:lang w:val="sr-Cyrl-CS"/>
        </w:rPr>
      </w:pPr>
    </w:p>
    <w:p w14:paraId="7CDC0BE9" w14:textId="77777777" w:rsidR="00A95BCB" w:rsidRPr="003F13B1" w:rsidRDefault="00A95BCB" w:rsidP="00086E10">
      <w:pPr>
        <w:pStyle w:val="Osnovnitekst"/>
        <w:rPr>
          <w:lang w:val="sr-Cyrl-CS"/>
        </w:rPr>
      </w:pPr>
    </w:p>
    <w:p w14:paraId="20C1DDA3" w14:textId="77777777" w:rsidR="00A95BCB" w:rsidRPr="003F13B1" w:rsidRDefault="00A95BCB" w:rsidP="00086E10">
      <w:pPr>
        <w:pStyle w:val="Osnovnitekst"/>
        <w:rPr>
          <w:lang w:val="sr-Cyrl-CS"/>
        </w:rPr>
      </w:pPr>
    </w:p>
    <w:p w14:paraId="48607095" w14:textId="77777777" w:rsidR="00A95BCB" w:rsidRPr="003F13B1" w:rsidRDefault="00A95BCB" w:rsidP="00086E10">
      <w:pPr>
        <w:pStyle w:val="Osnovnitekst"/>
        <w:rPr>
          <w:lang w:val="sr-Cyrl-CS"/>
        </w:rPr>
      </w:pPr>
    </w:p>
    <w:p w14:paraId="36CBF113" w14:textId="77777777" w:rsidR="00A95BCB" w:rsidRPr="003F13B1" w:rsidRDefault="00A95BCB" w:rsidP="00086E10">
      <w:pPr>
        <w:pStyle w:val="Osnovnitekst"/>
        <w:rPr>
          <w:lang w:val="sr-Cyrl-CS"/>
        </w:rPr>
      </w:pPr>
    </w:p>
    <w:p w14:paraId="48EC43CA" w14:textId="77777777" w:rsidR="00A95BCB" w:rsidRPr="003F13B1" w:rsidRDefault="00A95BCB" w:rsidP="00086E10">
      <w:pPr>
        <w:pStyle w:val="Vremepredajeteze"/>
        <w:rPr>
          <w:rFonts w:ascii="Times New Roman" w:hAnsi="Times New Roman"/>
          <w:lang w:val="sr-Cyrl-CS"/>
        </w:rPr>
      </w:pPr>
      <w:r>
        <w:rPr>
          <w:rFonts w:ascii="Times New Roman" w:hAnsi="Times New Roman"/>
          <w:lang w:val="sr-Cyrl-CS"/>
        </w:rPr>
        <w:t>Београд, Август 2026.</w:t>
      </w:r>
    </w:p>
    <w:p w14:paraId="2AF166B7"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EndPr/>
      <w:sdtContent>
        <w:p w14:paraId="09FE3527" w14:textId="77777777" w:rsidR="0093461C" w:rsidRPr="003F13B1" w:rsidRDefault="0093461C">
          <w:pPr>
            <w:pStyle w:val="TOCHeading"/>
            <w:rPr>
              <w:rFonts w:ascii="Times New Roman" w:hAnsi="Times New Roman" w:cs="Times New Roman"/>
              <w:color w:val="auto"/>
            </w:rPr>
          </w:pPr>
          <w:r>
            <w:rPr>
              <w:rFonts w:ascii="Times New Roman" w:hAnsi="Times New Roman" w:cs="Times New Roman"/>
              <w:color w:val="auto"/>
              <w:sz w:val="36"/>
            </w:rPr>
            <w:t>Садржај</w:t>
          </w:r>
        </w:p>
        <w:p w14:paraId="7849D542" w14:textId="77777777" w:rsidR="00397634"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instrText xml:space="preserve"> TOC \o "1-3" \h \z \u </w:instrText>
            <w:fldChar w:fldCharType="separate"/>
          </w:r>
          <w:hyperlink w:anchor="_Toc238481644" w:history="1">
            <w:r>
              <w:rPr>
                <w:rStyle w:val="Hyperlink"/>
                <w:b/>
                <w:bCs/>
                <w:noProof/>
                <w:kern w:val="36"/>
                <w:lang w:val="en-US"/>
              </w:rPr>
              <w:t>1. П</w:t>
            </w:r>
            <w:r>
              <w:rPr>
                <w:rStyle w:val="Hyperlink"/>
                <w:b/>
                <w:bCs/>
                <w:noProof/>
                <w:kern w:val="36"/>
                <w:lang w:val="sr-Cyrl-RS"/>
              </w:rPr>
              <w:t>риказ проблема и теме</w:t>
            </w:r>
            <w:r>
              <w:rPr>
                <w:noProof/>
                <w:webHidden/>
              </w:rPr>
              <w:tab/>
              <w:fldChar w:fldCharType="begin"/>
              <w:instrText xml:space="preserve"> PAGEREF _Toc238481644 \h </w:instrText>
              <w:fldChar w:fldCharType="separate"/>
              <w:t>3</w:t>
              <w:fldChar w:fldCharType="end"/>
            </w:r>
          </w:hyperlink>
        </w:p>
        <w:p w14:paraId="438738BE"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5" w:history="1">
            <w:r>
              <w:rPr>
                <w:rStyle w:val="Hyperlink"/>
                <w:noProof/>
              </w:rPr>
              <w:t>1.1. Категорије политичких ставова у скупу података</w:t>
            </w:r>
            <w:r>
              <w:rPr>
                <w:noProof/>
                <w:webHidden/>
              </w:rPr>
              <w:tab/>
              <w:fldChar w:fldCharType="begin"/>
              <w:instrText xml:space="preserve"> PAGEREF _Toc238481645 \h </w:instrText>
              <w:fldChar w:fldCharType="separate"/>
              <w:t>3</w:t>
              <w:fldChar w:fldCharType="end"/>
            </w:r>
          </w:hyperlink>
        </w:p>
        <w:p w14:paraId="35989CED"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6" w:history="1">
            <w:r>
              <w:rPr>
                <w:rStyle w:val="Hyperlink"/>
                <w:noProof/>
              </w:rPr>
              <w:t>1.2. Циљ пројекта</w:t>
            </w:r>
            <w:r>
              <w:rPr>
                <w:noProof/>
                <w:webHidden/>
              </w:rPr>
              <w:tab/>
              <w:fldChar w:fldCharType="begin"/>
              <w:instrText xml:space="preserve"> PAGEREF _Toc238481646 \h </w:instrText>
              <w:fldChar w:fldCharType="separate"/>
              <w:t>4</w:t>
              <w:fldChar w:fldCharType="end"/>
            </w:r>
          </w:hyperlink>
        </w:p>
        <w:p w14:paraId="3AC90A03"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47" w:history="1">
            <w:r>
              <w:rPr>
                <w:rStyle w:val="Hyperlink"/>
                <w:noProof/>
              </w:rPr>
              <w:t>2. П</w:t>
            </w:r>
            <w:r>
              <w:rPr>
                <w:rStyle w:val="Hyperlink"/>
                <w:noProof/>
                <w:lang w:val="sr-Cyrl-RS"/>
              </w:rPr>
              <w:t>рикупљање података</w:t>
            </w:r>
            <w:r>
              <w:rPr>
                <w:noProof/>
                <w:webHidden/>
              </w:rPr>
              <w:tab/>
              <w:fldChar w:fldCharType="begin"/>
              <w:instrText xml:space="preserve"> PAGEREF _Toc238481647 \h </w:instrText>
              <w:fldChar w:fldCharType="separate"/>
              <w:t>4</w:t>
              <w:fldChar w:fldCharType="end"/>
            </w:r>
          </w:hyperlink>
        </w:p>
        <w:p w14:paraId="4D91EDBB"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8" w:history="1">
            <w:r>
              <w:rPr>
                <w:rStyle w:val="Hyperlink"/>
                <w:noProof/>
              </w:rPr>
              <w:t xml:space="preserve">2.1. Прикупљање </w:t>
            </w:r>
            <w:r>
              <w:rPr>
                <w:rStyle w:val="Hyperlink"/>
                <w:noProof/>
                <w:lang w:val="sr-Cyrl-RS"/>
              </w:rPr>
              <w:t xml:space="preserve">необрађених </w:t>
            </w:r>
            <w:r>
              <w:rPr>
                <w:rStyle w:val="Hyperlink"/>
                <w:noProof/>
              </w:rPr>
              <w:t>података са друштвених мрежа</w:t>
            </w:r>
            <w:r>
              <w:rPr>
                <w:noProof/>
                <w:webHidden/>
              </w:rPr>
              <w:tab/>
              <w:fldChar w:fldCharType="begin"/>
              <w:instrText xml:space="preserve"> PAGEREF _Toc238481648 \h </w:instrText>
              <w:fldChar w:fldCharType="separate"/>
              <w:t>4</w:t>
              <w:fldChar w:fldCharType="end"/>
            </w:r>
          </w:hyperlink>
        </w:p>
        <w:p w14:paraId="7259F433"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9" w:history="1">
            <w:r>
              <w:rPr>
                <w:rStyle w:val="Hyperlink"/>
                <w:noProof/>
              </w:rPr>
              <w:t>2.2. Чишћење и стандардизација корпуса</w:t>
            </w:r>
            <w:r>
              <w:rPr>
                <w:noProof/>
                <w:webHidden/>
              </w:rPr>
              <w:tab/>
              <w:fldChar w:fldCharType="begin"/>
              <w:instrText xml:space="preserve"> PAGEREF _Toc238481649 \h </w:instrText>
              <w:fldChar w:fldCharType="separate"/>
              <w:t>8</w:t>
              <w:fldChar w:fldCharType="end"/>
            </w:r>
          </w:hyperlink>
        </w:p>
        <w:p w14:paraId="7FFA3D7D"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0" w:history="1">
            <w:r>
              <w:rPr>
                <w:rStyle w:val="Hyperlink"/>
                <w:noProof/>
              </w:rPr>
              <w:t xml:space="preserve">2.2.1. Припрема </w:t>
            </w:r>
            <w:r>
              <w:rPr>
                <w:rStyle w:val="Hyperlink"/>
                <w:noProof/>
                <w:lang w:val="sr-Cyrl-RS"/>
              </w:rPr>
              <w:t>необрађеног</w:t>
            </w:r>
            <w:r>
              <w:rPr>
                <w:rStyle w:val="Hyperlink"/>
                <w:noProof/>
              </w:rPr>
              <w:t xml:space="preserve"> корпуса</w:t>
            </w:r>
            <w:r>
              <w:rPr>
                <w:noProof/>
                <w:webHidden/>
              </w:rPr>
              <w:tab/>
              <w:fldChar w:fldCharType="begin"/>
              <w:instrText xml:space="preserve"> PAGEREF _Toc238481650 \h </w:instrText>
              <w:fldChar w:fldCharType="separate"/>
              <w:t>8</w:t>
              <w:fldChar w:fldCharType="end"/>
            </w:r>
          </w:hyperlink>
        </w:p>
        <w:p w14:paraId="3E15D31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1" w:history="1">
            <w:r>
              <w:rPr>
                <w:rStyle w:val="Hyperlink"/>
                <w:noProof/>
              </w:rPr>
              <w:t>2.2.2. Анотациони скуп</w:t>
            </w:r>
            <w:r>
              <w:rPr>
                <w:noProof/>
                <w:webHidden/>
              </w:rPr>
              <w:tab/>
              <w:fldChar w:fldCharType="begin"/>
              <w:instrText xml:space="preserve"> PAGEREF _Toc238481651 \h </w:instrText>
              <w:fldChar w:fldCharType="separate"/>
              <w:t>8</w:t>
              <w:fldChar w:fldCharType="end"/>
            </w:r>
          </w:hyperlink>
        </w:p>
        <w:p w14:paraId="664F8B0B"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2" w:history="1">
            <w:r>
              <w:rPr>
                <w:rStyle w:val="Hyperlink"/>
                <w:noProof/>
              </w:rPr>
              <w:t xml:space="preserve">2.2.3. Претпроцесирање за </w:t>
            </w:r>
            <w:r>
              <w:rPr>
                <w:rStyle w:val="Hyperlink"/>
                <w:i/>
                <w:noProof/>
              </w:rPr>
              <w:t>baseline</w:t>
            </w:r>
            <w:r>
              <w:rPr>
                <w:rStyle w:val="Hyperlink"/>
                <w:noProof/>
              </w:rPr>
              <w:t xml:space="preserve"> моделе</w:t>
            </w:r>
            <w:r>
              <w:rPr>
                <w:noProof/>
                <w:webHidden/>
              </w:rPr>
              <w:tab/>
              <w:fldChar w:fldCharType="begin"/>
              <w:instrText xml:space="preserve"> PAGEREF _Toc238481652 \h </w:instrText>
              <w:fldChar w:fldCharType="separate"/>
              <w:t>9</w:t>
              <w:fldChar w:fldCharType="end"/>
            </w:r>
          </w:hyperlink>
        </w:p>
        <w:p w14:paraId="14960A9A"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3" w:history="1">
            <w:r>
              <w:rPr>
                <w:rStyle w:val="Hyperlink"/>
                <w:noProof/>
              </w:rPr>
              <w:t>2.2.4. Енкодерски модели</w:t>
            </w:r>
            <w:r>
              <w:rPr>
                <w:noProof/>
                <w:webHidden/>
              </w:rPr>
              <w:tab/>
              <w:fldChar w:fldCharType="begin"/>
              <w:instrText xml:space="preserve"> PAGEREF _Toc238481653 \h </w:instrText>
              <w:fldChar w:fldCharType="separate"/>
              <w:t>9</w:t>
              <w:fldChar w:fldCharType="end"/>
            </w:r>
          </w:hyperlink>
        </w:p>
        <w:p w14:paraId="5B21751C" w14:textId="77777777" w:rsidR="00397634" w:rsidRDefault="00397634">
          <w:pPr>
            <w:pStyle w:val="TOC2"/>
            <w:tabs>
              <w:tab w:val="right" w:leader="dot" w:pos="9350"/>
            </w:tabs>
          </w:pPr>
          <w:hyperlink w:anchor="_Toc238481654" w:history="1">
            <w:r>
              <w:rPr>
                <w:rStyle w:val="Hyperlink"/>
                <w:noProof/>
              </w:rPr>
              <w:t>2.3. Анотација коментара</w:t>
            </w:r>
            <w:r>
              <w:rPr>
                <w:noProof/>
                <w:webHidden/>
              </w:rPr>
              <w:tab/>
              <w:fldChar w:fldCharType="begin"/>
              <w:instrText xml:space="preserve"> PAGEREF _Toc238481654 \h </w:instrText>
              <w:fldChar w:fldCharType="separate"/>
              <w:t>9</w:t>
              <w:fldChar w:fldCharType="end"/>
            </w:r>
          </w:hyperlink>
        </w:p>
        <w:p w14:paraId="761B3EFB" w14:textId="222ABB0D" w:rsidR="003443A5" w:rsidRPr="003443A5" w:rsidRDefault="003443A5" w:rsidP="003443A5">
          <w:pPr>
            <w:pStyle w:val="TOC3"/>
            <w:tabs>
              <w:tab w:val="right" w:leader="dot" w:pos="9350"/>
            </w:tabs>
            <w:rPr>
              <w:rFonts w:asciiTheme="minorHAnsi" w:eastAsiaTheme="minorEastAsia" w:hAnsiTheme="minorHAnsi" w:cstheme="minorBidi"/>
              <w:noProof/>
              <w:kern w:val="2"/>
              <w:lang w:val="en-US"/>
            </w:rPr>
          </w:pPr>
          <w:hyperlink w:anchor="_2.3.1._Калибрација_и" w:history="1">
            <w:r>
              <w:t>2.3.1. Калибрација и мере слагања</w:t>
            </w:r>
            <w:r>
              <w:rPr>
                <w:noProof/>
                <w:webHidden/>
              </w:rPr>
              <w:tab/>
              <w:fldChar w:fldCharType="begin"/>
              <w:instrText xml:space="preserve"> PAGEREF _Toc238481655 \h </w:instrText>
              <w:fldChar w:fldCharType="separate"/>
              <w:t>14</w:t>
              <w:fldChar w:fldCharType="end"/>
            </w:r>
          </w:hyperlink>
        </w:p>
        <w:p w14:paraId="2D9691BC"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5" w:history="1">
            <w:r>
              <w:rPr>
                <w:rStyle w:val="Hyperlink"/>
                <w:noProof/>
              </w:rPr>
              <w:t>2.4.3. Најчешће речи — семантички отисак класа</w:t>
            </w:r>
            <w:r>
              <w:rPr>
                <w:noProof/>
                <w:webHidden/>
              </w:rPr>
              <w:tab/>
              <w:fldChar w:fldCharType="begin"/>
              <w:instrText xml:space="preserve"> PAGEREF _Toc238481655 \h </w:instrText>
              <w:fldChar w:fldCharType="separate"/>
              <w:t>14</w:t>
              <w:fldChar w:fldCharType="end"/>
            </w:r>
          </w:hyperlink>
        </w:p>
        <w:p w14:paraId="0461959E"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56" w:history="1">
            <w:r>
              <w:rPr>
                <w:rStyle w:val="Hyperlink"/>
                <w:noProof/>
                <w:lang w:val="sr-Cyrl-RS"/>
              </w:rPr>
              <w:t>3</w:t>
            </w:r>
            <w:r>
              <w:rPr>
                <w:rStyle w:val="Hyperlink"/>
                <w:noProof/>
              </w:rPr>
              <w:t xml:space="preserve">. </w:t>
            </w:r>
            <w:r>
              <w:rPr>
                <w:rStyle w:val="Hyperlink"/>
                <w:noProof/>
                <w:lang w:val="sr-Cyrl-RS"/>
              </w:rPr>
              <w:t>Обучавање и евалуација модела</w:t>
            </w:r>
            <w:r>
              <w:rPr>
                <w:noProof/>
                <w:webHidden/>
              </w:rPr>
              <w:tab/>
              <w:fldChar w:fldCharType="begin"/>
              <w:instrText xml:space="preserve"> PAGEREF _Toc238481656 \h </w:instrText>
              <w:fldChar w:fldCharType="separate"/>
              <w:t>16</w:t>
              <w:fldChar w:fldCharType="end"/>
            </w:r>
          </w:hyperlink>
        </w:p>
        <w:p w14:paraId="2EB58A58"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7" w:history="1">
            <w:r>
              <w:rPr>
                <w:rStyle w:val="Hyperlink"/>
                <w:noProof/>
                <w:lang w:val="sr-Cyrl-RS"/>
              </w:rPr>
              <w:t>3.1</w:t>
            </w:r>
            <w:r>
              <w:rPr>
                <w:rStyle w:val="Hyperlink"/>
                <w:noProof/>
              </w:rPr>
              <w:t xml:space="preserve">. </w:t>
            </w:r>
            <w:r>
              <w:rPr>
                <w:rStyle w:val="Hyperlink"/>
                <w:i/>
                <w:iCs/>
                <w:noProof/>
              </w:rPr>
              <w:t>Baseline</w:t>
            </w:r>
            <w:r>
              <w:rPr>
                <w:rStyle w:val="Hyperlink"/>
                <w:noProof/>
              </w:rPr>
              <w:t xml:space="preserve"> </w:t>
            </w:r>
            <w:r>
              <w:rPr>
                <w:rStyle w:val="Hyperlink"/>
                <w:noProof/>
                <w:lang w:val="sr-Cyrl-RS"/>
              </w:rPr>
              <w:t>модели</w:t>
            </w:r>
            <w:r>
              <w:rPr>
                <w:noProof/>
                <w:webHidden/>
              </w:rPr>
              <w:tab/>
              <w:fldChar w:fldCharType="begin"/>
              <w:instrText xml:space="preserve"> PAGEREF _Toc238481657 \h </w:instrText>
              <w:fldChar w:fldCharType="separate"/>
              <w:t>16</w:t>
              <w:fldChar w:fldCharType="end"/>
            </w:r>
          </w:hyperlink>
        </w:p>
        <w:p w14:paraId="05891170" w14:textId="77777777" w:rsidR="002C411F" w:rsidRPr="002C411F" w:rsidRDefault="00397634" w:rsidP="002C411F">
          <w:pPr>
            <w:pStyle w:val="TOC3"/>
            <w:tabs>
              <w:tab w:val="right" w:leader="dot" w:pos="9350"/>
            </w:tabs>
            <w:rPr>
              <w:noProof/>
            </w:rPr>
          </w:pPr>
          <w:hyperlink w:anchor="_Toc238481658" w:history="1">
            <w:r>
              <w:rPr>
                <w:rStyle w:val="Hyperlink"/>
                <w:noProof/>
                <w:lang w:val="sr-Cyrl-RS"/>
              </w:rPr>
              <w:t>3.1.</w:t>
            </w:r>
            <w:r>
              <w:rPr>
                <w:rStyle w:val="Hyperlink"/>
                <w:noProof/>
              </w:rPr>
              <w:t>1. Пр</w:t>
            </w:r>
            <w:r>
              <w:rPr>
                <w:rStyle w:val="Hyperlink"/>
                <w:noProof/>
                <w:lang w:val="sr-Cyrl-RS"/>
              </w:rPr>
              <w:t>етпроцесирање и репрезентација текста</w:t>
            </w:r>
            <w:r>
              <w:rPr>
                <w:noProof/>
                <w:webHidden/>
              </w:rPr>
              <w:tab/>
              <w:fldChar w:fldCharType="begin"/>
              <w:instrText xml:space="preserve"> PAGEREF _Toc238481658 \h </w:instrText>
              <w:fldChar w:fldCharType="separate"/>
              <w:t>16</w:t>
              <w:fldChar w:fldCharType="end"/>
            </w:r>
          </w:hyperlink>
        </w:p>
        <w:p w14:paraId="766EA36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9" w:history="1">
            <w:r>
              <w:rPr>
                <w:rStyle w:val="Hyperlink"/>
                <w:noProof/>
                <w:lang w:val="sr-Cyrl-RS"/>
              </w:rPr>
              <w:t>3.1.</w:t>
            </w:r>
            <w:r>
              <w:rPr>
                <w:rStyle w:val="Hyperlink"/>
                <w:noProof/>
              </w:rPr>
              <w:t xml:space="preserve">2. </w:t>
            </w:r>
            <w:r>
              <w:rPr>
                <w:rStyle w:val="Hyperlink"/>
                <w:noProof/>
                <w:lang w:val="sr-Cyrl-RS"/>
              </w:rPr>
              <w:t>Евалуација</w:t>
            </w:r>
            <w:r>
              <w:rPr>
                <w:noProof/>
                <w:webHidden/>
              </w:rPr>
              <w:tab/>
              <w:fldChar w:fldCharType="begin"/>
              <w:instrText xml:space="preserve"> PAGEREF _Toc238481659 \h </w:instrText>
              <w:fldChar w:fldCharType="separate"/>
              <w:t>17</w:t>
              <w:fldChar w:fldCharType="end"/>
            </w:r>
          </w:hyperlink>
        </w:p>
        <w:p w14:paraId="0D7F2BE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0" w:history="1">
            <w:r>
              <w:rPr>
                <w:rStyle w:val="Hyperlink"/>
                <w:noProof/>
                <w:lang w:val="sr-Cyrl-RS"/>
              </w:rPr>
              <w:t>3.1.</w:t>
            </w:r>
            <w:r>
              <w:rPr>
                <w:rStyle w:val="Hyperlink"/>
                <w:noProof/>
              </w:rPr>
              <w:t xml:space="preserve">3. </w:t>
            </w:r>
            <w:r>
              <w:rPr>
                <w:rStyle w:val="Hyperlink"/>
                <w:noProof/>
                <w:lang w:val="sr-Cyrl-RS"/>
              </w:rPr>
              <w:t>Резултати</w:t>
            </w:r>
            <w:r>
              <w:rPr>
                <w:noProof/>
                <w:webHidden/>
              </w:rPr>
              <w:tab/>
              <w:fldChar w:fldCharType="begin"/>
              <w:instrText xml:space="preserve"> PAGEREF _Toc238481660 \h </w:instrText>
              <w:fldChar w:fldCharType="separate"/>
              <w:t>18</w:t>
              <w:fldChar w:fldCharType="end"/>
            </w:r>
          </w:hyperlink>
        </w:p>
        <w:p w14:paraId="62C38758" w14:textId="77777777" w:rsidR="00397634" w:rsidRDefault="00397634">
          <w:pPr>
            <w:pStyle w:val="TOC3"/>
            <w:tabs>
              <w:tab w:val="right" w:leader="dot" w:pos="9350"/>
            </w:tabs>
            <w:rPr>
              <w:noProof/>
            </w:rPr>
          </w:pPr>
          <w:hyperlink w:anchor="_3.1.4._Аблација_опсега" w:history="1">
            <w:r>
              <w:rPr>
                <w:rStyle w:val="Hyperlink"/>
                <w:noProof/>
                <w:lang w:val="sr-Cyrl-RS"/>
              </w:rPr>
              <w:t>3.1.4</w:t>
            </w:r>
            <w:r>
              <w:rPr>
                <w:rStyle w:val="Hyperlink"/>
                <w:noProof/>
              </w:rPr>
              <w:t xml:space="preserve">. </w:t>
            </w:r>
            <w:r>
              <w:rPr>
                <w:rStyle w:val="Hyperlink"/>
                <w:noProof/>
                <w:lang w:val="sr-Cyrl-RS"/>
              </w:rPr>
              <w:t>Аблација опсега н-грама и филтрирањ</w:t>
            </w:r>
            <w:r>
              <w:rPr>
                <w:rStyle w:val="Hyperlink"/>
                <w:noProof/>
                <w:lang w:val="en-US"/>
              </w:rPr>
              <w:t>e</w:t>
            </w:r>
            <w:r>
              <w:rPr>
                <w:rStyle w:val="Hyperlink"/>
                <w:noProof/>
                <w:webHidden/>
              </w:rPr>
              <w:tab/>
              <w:fldChar w:fldCharType="begin"/>
              <w:instrText xml:space="preserve"> PAGEREF _Toc238481661 \h </w:instrText>
              <w:fldChar w:fldCharType="separate"/>
              <w:t>22</w:t>
              <w:fldChar w:fldCharType="end"/>
            </w:r>
          </w:hyperlink>
        </w:p>
        <w:p w14:paraId="022C19AF" w14:textId="77777777" w:rsidR="00C95B3C" w:rsidRPr="00C95B3C" w:rsidRDefault="00C95B3C" w:rsidP="00C95B3C">
          <w:pPr>
            <w:pStyle w:val="TOC3"/>
            <w:tabs>
              <w:tab w:val="right" w:leader="dot" w:pos="9350"/>
            </w:tabs>
            <w:rPr>
              <w:rFonts w:asciiTheme="minorHAnsi" w:eastAsiaTheme="minorEastAsia" w:hAnsiTheme="minorHAnsi" w:cstheme="minorBidi"/>
              <w:noProof/>
              <w:kern w:val="2"/>
              <w:lang w:val="en-US"/>
            </w:rPr>
          </w:pPr>
          <w:hyperlink w:anchor="_Toc238481661" w:history="1">
            <w:r>
              <w:rPr>
                <w:rStyle w:val="Hyperlink"/>
                <w:noProof/>
                <w:lang w:val="sr-Cyrl-RS"/>
              </w:rPr>
              <w:t>3.1.</w:t>
            </w:r>
            <w:r>
              <w:rPr>
                <w:rStyle w:val="Hyperlink"/>
                <w:noProof/>
                <w:lang w:val="en-US"/>
              </w:rPr>
              <w:t>5</w:t>
            </w:r>
            <w:r>
              <w:rPr>
                <w:rStyle w:val="Hyperlink"/>
                <w:noProof/>
              </w:rPr>
              <w:t xml:space="preserve">. </w:t>
            </w:r>
            <w:r>
              <w:rPr>
                <w:rStyle w:val="Hyperlink"/>
                <w:noProof/>
                <w:lang w:val="sr-Cyrl-RS"/>
              </w:rPr>
              <w:t>Дискусија</w:t>
            </w:r>
            <w:r>
              <w:rPr>
                <w:noProof/>
                <w:webHidden/>
              </w:rPr>
              <w:tab/>
              <w:fldChar w:fldCharType="begin"/>
              <w:instrText xml:space="preserve"> PAGEREF _Toc238481661 \h </w:instrText>
              <w:fldChar w:fldCharType="separate"/>
              <w:t>2</w:t>
              <w:fldChar w:fldCharType="end"/>
            </w:r>
          </w:hyperlink>
          <w:r>
            <w:rPr>
              <w:noProof/>
            </w:rPr>
            <w:t>4</w:t>
          </w:r>
        </w:p>
        <w:p w14:paraId="70E1F276"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62" w:history="1">
            <w:r>
              <w:rPr>
                <w:rStyle w:val="Hyperlink"/>
                <w:noProof/>
              </w:rPr>
              <w:t>3.2. Енкодер</w:t>
            </w:r>
            <w:r>
              <w:rPr>
                <w:noProof/>
                <w:webHidden/>
              </w:rPr>
              <w:tab/>
              <w:fldChar w:fldCharType="begin"/>
              <w:instrText xml:space="preserve"> PAGEREF _Toc238481662 \h </w:instrText>
              <w:fldChar w:fldCharType="separate"/>
              <w:t>25</w:t>
              <w:fldChar w:fldCharType="end"/>
            </w:r>
          </w:hyperlink>
        </w:p>
        <w:p w14:paraId="271F994C"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3" w:history="1">
            <w:r>
              <w:rPr>
                <w:rStyle w:val="Hyperlink"/>
                <w:noProof/>
                <w:lang w:val="sr-Cyrl-RS"/>
              </w:rPr>
              <w:t>3.</w:t>
            </w:r>
            <w:r>
              <w:rPr>
                <w:rStyle w:val="Hyperlink"/>
                <w:noProof/>
                <w:lang w:val="en-US"/>
              </w:rPr>
              <w:t>2.1</w:t>
            </w:r>
            <w:r>
              <w:rPr>
                <w:rStyle w:val="Hyperlink"/>
                <w:noProof/>
              </w:rPr>
              <w:t xml:space="preserve">. </w:t>
            </w:r>
            <w:r>
              <w:rPr>
                <w:rStyle w:val="Hyperlink"/>
                <w:noProof/>
                <w:lang w:val="sr-Cyrl-RS"/>
              </w:rPr>
              <w:t>Модели</w:t>
            </w:r>
            <w:r>
              <w:rPr>
                <w:noProof/>
                <w:webHidden/>
              </w:rPr>
              <w:tab/>
              <w:fldChar w:fldCharType="begin"/>
              <w:instrText xml:space="preserve"> PAGEREF _Toc238481663 \h </w:instrText>
              <w:fldChar w:fldCharType="separate"/>
              <w:t>25</w:t>
              <w:fldChar w:fldCharType="end"/>
            </w:r>
          </w:hyperlink>
        </w:p>
        <w:p w14:paraId="0248CFE8"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4" w:history="1">
            <w:r>
              <w:rPr>
                <w:rStyle w:val="Hyperlink"/>
                <w:noProof/>
                <w:lang w:val="sr-Cyrl-RS"/>
              </w:rPr>
              <w:t>3.</w:t>
            </w:r>
            <w:r>
              <w:rPr>
                <w:rStyle w:val="Hyperlink"/>
                <w:noProof/>
                <w:lang w:val="en-US"/>
              </w:rPr>
              <w:t>2.</w:t>
            </w:r>
            <w:r>
              <w:rPr>
                <w:rStyle w:val="Hyperlink"/>
                <w:noProof/>
                <w:lang w:val="sr-Cyrl-RS"/>
              </w:rPr>
              <w:t>2</w:t>
            </w:r>
            <w:r>
              <w:rPr>
                <w:rStyle w:val="Hyperlink"/>
                <w:noProof/>
              </w:rPr>
              <w:t xml:space="preserve">. </w:t>
            </w:r>
            <w:r>
              <w:rPr>
                <w:rStyle w:val="Hyperlink"/>
                <w:noProof/>
                <w:lang w:val="sr-Cyrl-RS"/>
              </w:rPr>
              <w:t>Поставка и хиперпараметри</w:t>
            </w:r>
            <w:r>
              <w:rPr>
                <w:noProof/>
                <w:webHidden/>
              </w:rPr>
              <w:tab/>
              <w:fldChar w:fldCharType="begin"/>
              <w:instrText xml:space="preserve"> PAGEREF _Toc238481664 \h </w:instrText>
              <w:fldChar w:fldCharType="separate"/>
              <w:t>25</w:t>
              <w:fldChar w:fldCharType="end"/>
            </w:r>
          </w:hyperlink>
        </w:p>
        <w:p w14:paraId="3E5C9BD9"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5" w:history="1">
            <w:r>
              <w:rPr>
                <w:rStyle w:val="Hyperlink"/>
                <w:noProof/>
                <w:lang w:val="sr-Cyrl-RS"/>
              </w:rPr>
              <w:t>3.</w:t>
            </w:r>
            <w:r>
              <w:rPr>
                <w:rStyle w:val="Hyperlink"/>
                <w:noProof/>
                <w:lang w:val="en-US"/>
              </w:rPr>
              <w:t>2.</w:t>
            </w:r>
            <w:r>
              <w:rPr>
                <w:rStyle w:val="Hyperlink"/>
                <w:noProof/>
                <w:lang w:val="sr-Cyrl-RS"/>
              </w:rPr>
              <w:t>3</w:t>
            </w:r>
            <w:r>
              <w:rPr>
                <w:rStyle w:val="Hyperlink"/>
                <w:noProof/>
              </w:rPr>
              <w:t xml:space="preserve">. </w:t>
            </w:r>
            <w:r>
              <w:rPr>
                <w:rStyle w:val="Hyperlink"/>
                <w:noProof/>
                <w:lang w:val="sr-Cyrl-RS"/>
              </w:rPr>
              <w:t>Резултати</w:t>
            </w:r>
            <w:r>
              <w:rPr>
                <w:noProof/>
                <w:webHidden/>
              </w:rPr>
              <w:tab/>
              <w:fldChar w:fldCharType="begin"/>
              <w:instrText xml:space="preserve"> PAGEREF _Toc238481665 \h </w:instrText>
              <w:fldChar w:fldCharType="separate"/>
              <w:t>26</w:t>
              <w:fldChar w:fldCharType="end"/>
            </w:r>
          </w:hyperlink>
        </w:p>
        <w:p w14:paraId="01D39FE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6" w:history="1">
            <w:r>
              <w:rPr>
                <w:rStyle w:val="Hyperlink"/>
                <w:noProof/>
                <w:lang w:val="sr-Cyrl-RS"/>
              </w:rPr>
              <w:t>3.</w:t>
            </w:r>
            <w:r>
              <w:rPr>
                <w:rStyle w:val="Hyperlink"/>
                <w:noProof/>
                <w:lang w:val="en-US"/>
              </w:rPr>
              <w:t>2.</w:t>
            </w:r>
            <w:r>
              <w:rPr>
                <w:rStyle w:val="Hyperlink"/>
                <w:noProof/>
                <w:lang w:val="sr-Cyrl-RS"/>
              </w:rPr>
              <w:t>4</w:t>
            </w:r>
            <w:r>
              <w:rPr>
                <w:rStyle w:val="Hyperlink"/>
                <w:noProof/>
              </w:rPr>
              <w:t xml:space="preserve">. </w:t>
            </w:r>
            <w:r>
              <w:rPr>
                <w:rStyle w:val="Hyperlink"/>
                <w:noProof/>
                <w:lang w:val="sr-Cyrl-RS"/>
              </w:rPr>
              <w:t>Дискусија</w:t>
            </w:r>
            <w:r>
              <w:rPr>
                <w:noProof/>
                <w:webHidden/>
              </w:rPr>
              <w:tab/>
              <w:fldChar w:fldCharType="begin"/>
              <w:instrText xml:space="preserve"> PAGEREF _Toc238481666 \h </w:instrText>
              <w:fldChar w:fldCharType="separate"/>
              <w:t>32</w:t>
              <w:fldChar w:fldCharType="end"/>
            </w:r>
          </w:hyperlink>
        </w:p>
        <w:p w14:paraId="2EA99FF5"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67" w:history="1">
            <w:r>
              <w:rPr>
                <w:rStyle w:val="Hyperlink"/>
                <w:noProof/>
                <w:lang w:val="sr-Cyrl-RS"/>
              </w:rPr>
              <w:t>4</w:t>
            </w:r>
            <w:r>
              <w:rPr>
                <w:rStyle w:val="Hyperlink"/>
                <w:noProof/>
              </w:rPr>
              <w:t xml:space="preserve">. </w:t>
            </w:r>
            <w:r>
              <w:rPr>
                <w:rStyle w:val="Hyperlink"/>
                <w:noProof/>
                <w:lang w:val="sr-Cyrl-RS"/>
              </w:rPr>
              <w:t>Закључак</w:t>
            </w:r>
            <w:r>
              <w:rPr>
                <w:noProof/>
                <w:webHidden/>
              </w:rPr>
              <w:tab/>
              <w:fldChar w:fldCharType="begin"/>
              <w:instrText xml:space="preserve"> PAGEREF _Toc238481667 \h </w:instrText>
              <w:fldChar w:fldCharType="separate"/>
              <w:t>33</w:t>
              <w:fldChar w:fldCharType="end"/>
            </w:r>
          </w:hyperlink>
        </w:p>
        <w:p w14:paraId="3C6A4157" w14:textId="77777777" w:rsidR="0093461C" w:rsidRPr="003F13B1" w:rsidRDefault="0093461C">
          <w:r>
            <w:fldChar w:fldCharType="end"/>
          </w:r>
        </w:p>
      </w:sdtContent>
    </w:sdt>
    <w:p w14:paraId="53596E16" w14:textId="77777777" w:rsidR="0093461C" w:rsidRPr="003F13B1" w:rsidRDefault="0093461C" w:rsidP="00086E10">
      <w:pPr>
        <w:jc w:val="both"/>
        <w:rPr>
          <w:lang w:val="en-US"/>
        </w:rPr>
      </w:pPr>
    </w:p>
    <w:p w14:paraId="28E126C6" w14:textId="77777777" w:rsidR="0093461C" w:rsidRPr="003F13B1" w:rsidRDefault="0093461C" w:rsidP="00086E10">
      <w:pPr>
        <w:jc w:val="both"/>
        <w:rPr>
          <w:lang w:val="en-US"/>
        </w:rPr>
      </w:pPr>
    </w:p>
    <w:p w14:paraId="6099392B" w14:textId="77777777" w:rsidR="0093461C" w:rsidRPr="003F13B1" w:rsidRDefault="0093461C" w:rsidP="00086E10">
      <w:pPr>
        <w:jc w:val="both"/>
        <w:rPr>
          <w:lang w:val="en-US"/>
        </w:rPr>
      </w:pPr>
    </w:p>
    <w:p w14:paraId="71330C25" w14:textId="77777777" w:rsidR="0093461C" w:rsidRPr="003F13B1" w:rsidRDefault="0093461C" w:rsidP="00086E10">
      <w:pPr>
        <w:jc w:val="both"/>
        <w:rPr>
          <w:lang w:val="en-US"/>
        </w:rPr>
      </w:pPr>
    </w:p>
    <w:p w14:paraId="4E65EC5D" w14:textId="77777777" w:rsidR="0093461C" w:rsidRPr="003F13B1" w:rsidRDefault="0093461C" w:rsidP="00086E10">
      <w:pPr>
        <w:jc w:val="both"/>
        <w:rPr>
          <w:lang w:val="en-US"/>
        </w:rPr>
      </w:pPr>
    </w:p>
    <w:p w14:paraId="37298E9E" w14:textId="77777777" w:rsidR="0093461C" w:rsidRPr="003F13B1" w:rsidRDefault="0093461C" w:rsidP="00086E10">
      <w:pPr>
        <w:jc w:val="both"/>
        <w:rPr>
          <w:lang w:val="en-US"/>
        </w:rPr>
      </w:pPr>
    </w:p>
    <w:p w14:paraId="50510D47" w14:textId="77777777" w:rsidR="0093461C" w:rsidRPr="003F13B1" w:rsidRDefault="0093461C" w:rsidP="00086E10">
      <w:pPr>
        <w:jc w:val="both"/>
        <w:rPr>
          <w:lang w:val="en-US"/>
        </w:rPr>
      </w:pPr>
    </w:p>
    <w:p w14:paraId="50773A61" w14:textId="77777777" w:rsidR="0093461C" w:rsidRPr="003F13B1" w:rsidRDefault="0093461C" w:rsidP="00086E10">
      <w:pPr>
        <w:jc w:val="both"/>
        <w:rPr>
          <w:lang w:val="en-US"/>
        </w:rPr>
      </w:pPr>
    </w:p>
    <w:p w14:paraId="09077010" w14:textId="77777777" w:rsidR="0093461C" w:rsidRPr="003F13B1" w:rsidRDefault="0093461C" w:rsidP="00086E10">
      <w:pPr>
        <w:jc w:val="both"/>
        <w:rPr>
          <w:lang w:val="en-US"/>
        </w:rPr>
      </w:pPr>
    </w:p>
    <w:p w14:paraId="7D62BA99" w14:textId="77777777" w:rsidR="0093461C" w:rsidRPr="003F13B1" w:rsidRDefault="0093461C" w:rsidP="00086E10">
      <w:pPr>
        <w:jc w:val="both"/>
        <w:rPr>
          <w:lang w:val="en-US"/>
        </w:rPr>
      </w:pPr>
    </w:p>
    <w:p w14:paraId="4F9D86E7" w14:textId="77777777" w:rsidR="0093461C" w:rsidRPr="005E19AA" w:rsidRDefault="0093461C" w:rsidP="00086E10">
      <w:pPr>
        <w:jc w:val="both"/>
        <w:rPr>
          <w:lang w:val="sr-Cyrl-RS"/>
        </w:rPr>
      </w:pPr>
    </w:p>
    <w:p w14:paraId="694D278E" w14:textId="77777777"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481644"/>
      <w:r>
        <w:rPr>
          <w:b/>
          <w:bCs/>
          <w:color w:val="0F1115"/>
          <w:kern w:val="36"/>
          <w:sz w:val="40"/>
          <w:szCs w:val="40"/>
          <w:lang w:val="en-US"/>
        </w:rPr>
        <w:t>1. П</w:t>
      </w:r>
      <w:r>
        <w:rPr>
          <w:b/>
          <w:bCs/>
          <w:color w:val="0F1115"/>
          <w:kern w:val="36"/>
          <w:sz w:val="40"/>
          <w:szCs w:val="40"/>
          <w:lang w:val="sr-Cyrl-RS"/>
        </w:rPr>
        <w:t>риказ проблема и теме</w:t>
      </w:r>
      <w:bookmarkEnd w:id="1"/>
      <w:r>
        <w:rPr>
          <w:b/>
          <w:bCs/>
          <w:color w:val="0F1115"/>
          <w:kern w:val="36"/>
          <w:sz w:val="40"/>
          <w:szCs w:val="40"/>
          <w:lang w:val="en-US"/>
        </w:rPr>
        <w:t xml:space="preserve"> </w:t>
      </w:r>
    </w:p>
    <w:p w14:paraId="4FF3520B"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 xml:space="preserve">Предмет </w:t>
      </w:r>
      <w:r>
        <w:rPr>
          <w:color w:val="0F1115"/>
          <w:szCs w:val="27"/>
          <w:lang w:val="sr-Cyrl-RS"/>
        </w:rPr>
        <w:t>изучавања овог</w:t>
      </w:r>
      <w:r>
        <w:rPr>
          <w:color w:val="0F1115"/>
          <w:szCs w:val="27"/>
          <w:lang w:val="en-US"/>
        </w:rPr>
        <w:t xml:space="preserve"> пројекта је класификација политичких ставова у коментарима на друштвеним мрежама који се односе на</w:t>
      </w:r>
      <w:r>
        <w:rPr>
          <w:color w:val="0F1115"/>
          <w:szCs w:val="27"/>
          <w:lang w:val="sr-Cyrl-RS"/>
        </w:rPr>
        <w:t xml:space="preserve"> актуелна политичка дешавања у Србији у последње две године.</w:t>
      </w:r>
      <w:r>
        <w:rPr>
          <w:color w:val="0F1115"/>
          <w:szCs w:val="27"/>
          <w:lang w:val="en-US"/>
        </w:rPr>
        <w:t xml:space="preserve">.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14:paraId="449F5992"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
    <w:p w14:paraId="303C0D42"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 xml:space="preserve">За тематски домен одабрани су коментари са друштвених мрежа </w:t>
      </w:r>
      <w:r>
        <w:rPr>
          <w:color w:val="0F1115"/>
          <w:szCs w:val="27"/>
          <w:lang w:val="sr-Cyrl-RS"/>
        </w:rPr>
        <w:t>који коментаришу актуелности и појаве на политичкој сцени у Србији у периоду од појаве</w:t>
      </w:r>
      <w:r>
        <w:rPr>
          <w:color w:val="0F1115"/>
          <w:szCs w:val="27"/>
          <w:lang w:val="en-US"/>
        </w:rPr>
        <w:t xml:space="preserve"> студентских протеста у Србији</w:t>
      </w:r>
      <w:r>
        <w:rPr>
          <w:color w:val="0F1115"/>
          <w:szCs w:val="27"/>
          <w:lang w:val="sr-Cyrl-RS"/>
        </w:rPr>
        <w:t xml:space="preserve"> до тренутка израдде пројекта</w:t>
      </w:r>
      <w:r>
        <w:rPr>
          <w:color w:val="0F1115"/>
          <w:szCs w:val="27"/>
          <w:lang w:val="en-US"/>
        </w:rPr>
        <w:t>, који су се догодили у периоду 2024-2026. године. Ова тема је изабрана због високог степена поларизације у јавном дискурсу, што омогућава јасно разликовање различитих политичких ставова. Са друге стране, коментари на друштвеним мрежама карактеришу се неформалним језиком, честом употребом сленга,</w:t>
      </w:r>
      <w:r>
        <w:rPr>
          <w:color w:val="0F1115"/>
          <w:szCs w:val="27"/>
          <w:lang w:val="sr-Cyrl-RS"/>
        </w:rPr>
        <w:t xml:space="preserve"> вулгарних речи,</w:t>
      </w:r>
      <w:r>
        <w:rPr>
          <w:color w:val="0F1115"/>
          <w:szCs w:val="27"/>
          <w:lang w:val="en-US"/>
        </w:rPr>
        <w:t xml:space="preserve"> скраћеница и правописних грешака, што чини задатак додатно изазовним и релевантним за истраживање у области обраде природних језика.</w:t>
      </w:r>
    </w:p>
    <w:p w14:paraId="0AD560F1"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Приликом прикупљања и претпроцесирања података, посебна пажња посвећена је чишћењу текстуалног садржаја. Емотикони су у потпуности избачени из корпуса, јер њихово присуство може унети додатну семантичку нејасноћу. 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 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 Избацивањем емотикона, модел се ослања искључиво на лингвистичке маркере, чиме се повећава робусност и интерпретабилност добијених резултата.</w:t>
      </w:r>
    </w:p>
    <w:p w14:paraId="36F4A75D" w14:textId="77777777" w:rsidR="00086E10" w:rsidRPr="003F13B1" w:rsidRDefault="00086E10" w:rsidP="0093461C">
      <w:pPr>
        <w:pStyle w:val="Heading2"/>
        <w:jc w:val="both"/>
      </w:pPr>
      <w:bookmarkStart w:id="2" w:name="_Toc238481645"/>
      <w:r>
        <w:t>1.1. Категорије политичких ставова у скупу података</w:t>
      </w:r>
      <w:bookmarkEnd w:id="2"/>
    </w:p>
    <w:p w14:paraId="62C55BE5"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Скуп података обухвата коментаре који су класификовани у три категорије политичких ставова</w:t>
      </w:r>
      <w:r>
        <w:rPr>
          <w:color w:val="0F1115"/>
          <w:szCs w:val="27"/>
          <w:lang w:val="sr-Cyrl-RS"/>
        </w:rPr>
        <w:t xml:space="preserve"> у односу на подршку тренутној власти</w:t>
      </w:r>
      <w:r>
        <w:rPr>
          <w:color w:val="0F1115"/>
          <w:szCs w:val="27"/>
          <w:lang w:val="en-US"/>
        </w:rPr>
        <w:t>:</w:t>
      </w:r>
    </w:p>
    <w:p w14:paraId="48635A79"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 xml:space="preserve">Против власти </w:t>
      </w:r>
      <w:r>
        <w:rPr>
          <w:color w:val="0F1115"/>
          <w:lang w:val="en-US"/>
        </w:rPr>
        <w:t xml:space="preserve">–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позитивна </w:t>
        <w:lastRenderedPageBreak/>
        <w:t>емотивна обојеност према протестима, честа критика институција и позивање на транспарентност и одговорност.</w:t>
      </w:r>
    </w:p>
    <w:p w14:paraId="2692BE95"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За власт</w:t>
      </w:r>
      <w:r>
        <w:rPr>
          <w:b/>
          <w:bCs/>
          <w:color w:val="0F1115"/>
          <w:lang w:val="sr-Cyrl-RS"/>
        </w:rPr>
        <w:t xml:space="preserve"> </w:t>
      </w:r>
      <w:r>
        <w:rPr>
          <w:color w:val="0F1115"/>
          <w:lang w:val="en-US"/>
        </w:rPr>
        <w:t>– коментари који изражавају подршку властима и противљење студентским протестима. Карактерише их лексика противљења, негативна емотивна обојеност према протестима и честа афирмација државних институција и тренутног руководства.</w:t>
      </w:r>
    </w:p>
    <w:p w14:paraId="66A61FCF"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Неутрални</w:t>
      </w:r>
      <w:r>
        <w:rPr>
          <w:b/>
          <w:bCs/>
          <w:color w:val="0F1115"/>
          <w:lang w:val="sr-Cyrl-RS"/>
        </w:rPr>
        <w:t xml:space="preserve"> </w:t>
      </w:r>
      <w:r>
        <w:rPr>
          <w:color w:val="0F1115"/>
          <w:szCs w:val="27"/>
          <w:lang w:val="en-US"/>
        </w:rPr>
        <w:t>–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14:paraId="0E1F458F" w14:textId="77777777" w:rsidR="00086E10" w:rsidRPr="003F13B1" w:rsidRDefault="006E18D8" w:rsidP="00086E10">
      <w:pPr>
        <w:shd w:val="clear" w:color="auto" w:fill="FFFFFF"/>
        <w:spacing w:before="268" w:after="268"/>
        <w:ind w:firstLine="360"/>
        <w:jc w:val="both"/>
        <w:rPr>
          <w:color w:val="0F1115"/>
          <w:szCs w:val="27"/>
          <w:lang w:val="en-US"/>
        </w:rPr>
      </w:pPr>
      <w:r>
        <w:rPr>
          <w:color w:val="0F1115"/>
          <w:szCs w:val="27"/>
        </w:rPr>
        <w:t>Избегли смо</w:t>
      </w:r>
      <w:r>
        <w:rPr>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 Исти коментар могао би бити протумачен и као подршка и као противљење, у зависности од контекста и читаочеве перцепције. Пошто циљ овог рада није моделирање нијанси ироније, већ препознавање експлицитних политичких ставова, овакве коментаре смо искључили из корпуса. 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
    <w:p w14:paraId="60BC2E01" w14:textId="77777777" w:rsidR="00086E10" w:rsidRPr="003F13B1" w:rsidRDefault="00086E10" w:rsidP="0093461C">
      <w:pPr>
        <w:pStyle w:val="Heading2"/>
        <w:rPr>
          <w:sz w:val="32"/>
        </w:rPr>
      </w:pPr>
      <w:bookmarkStart w:id="3" w:name="_Toc238481646"/>
      <w:r>
        <w:rPr>
          <w:sz w:val="32"/>
        </w:rPr>
        <w:t>1</w:t>
      </w:r>
      <w:r>
        <w:t>.2. Циљ пројекта</w:t>
      </w:r>
      <w:bookmarkEnd w:id="3"/>
    </w:p>
    <w:p w14:paraId="2E3DB8E7" w14:textId="77777777" w:rsidR="00086E10" w:rsidRPr="005E19AA" w:rsidRDefault="00086E10" w:rsidP="005E19AA">
      <w:pPr>
        <w:shd w:val="clear" w:color="auto" w:fill="FFFFFF"/>
        <w:spacing w:before="268" w:after="268"/>
        <w:ind w:firstLine="720"/>
        <w:jc w:val="both"/>
        <w:rPr>
          <w:color w:val="0F1115"/>
          <w:szCs w:val="27"/>
          <w:lang w:val="sr-Cyrl-RS"/>
        </w:rPr>
      </w:pPr>
      <w:r>
        <w:rPr>
          <w:color w:val="0F1115"/>
          <w:szCs w:val="27"/>
          <w:lang w:val="en-US"/>
        </w:rPr>
        <w:t xml:space="preserve">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 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 Истраживање је структурирано кроз неколико кључних фаза, почевши од прикупљања </w:t>
      </w:r>
      <w:r>
        <w:rPr>
          <w:color w:val="0F1115"/>
          <w:szCs w:val="27"/>
          <w:lang w:val="sr-Cyrl-RS"/>
        </w:rPr>
        <w:t xml:space="preserve">необрађених </w:t>
      </w:r>
      <w:r>
        <w:rPr>
          <w:color w:val="0F1115"/>
          <w:szCs w:val="27"/>
          <w:lang w:val="en-US"/>
        </w:rPr>
        <w:t>података, преко анотације, па све до напредног моделовања и евалуације добијених резултата.</w:t>
      </w:r>
    </w:p>
    <w:p w14:paraId="10EB35E9" w14:textId="77777777"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8481647"/>
      <w:r>
        <w:rPr>
          <w:color w:val="0F1115"/>
          <w:sz w:val="45"/>
          <w:szCs w:val="45"/>
        </w:rPr>
        <w:t xml:space="preserve">2. </w:t>
      </w:r>
      <w:r>
        <w:t>П</w:t>
      </w:r>
      <w:r>
        <w:rPr>
          <w:lang w:val="sr-Cyrl-RS"/>
        </w:rPr>
        <w:t>рикупљање података</w:t>
      </w:r>
      <w:bookmarkEnd w:id="4"/>
    </w:p>
    <w:p w14:paraId="2A7FE3C4" w14:textId="77777777"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У овом поглављу описан је целокупан процес формирања корпуса  од прикупљања </w:t>
      </w:r>
      <w:r>
        <w:rPr>
          <w:color w:val="0F1115"/>
          <w:szCs w:val="30"/>
          <w:lang w:val="sr-Cyrl-RS"/>
        </w:rPr>
        <w:t xml:space="preserve">необрађених </w:t>
      </w:r>
      <w:r>
        <w:rPr>
          <w:color w:val="0F1115"/>
          <w:szCs w:val="30"/>
        </w:rPr>
        <w:t>коментара са друштвених мрежа, чишћења и стандардизације, до ручне анотације</w:t>
      </w:r>
      <w:r>
        <w:rPr>
          <w:color w:val="0F1115"/>
          <w:szCs w:val="30"/>
          <w:lang w:val="sr-Cyrl-RS"/>
        </w:rPr>
        <w:t xml:space="preserve"> коришћењем специјализовано израђених алата анотације за овај проблем</w:t>
      </w:r>
      <w:r>
        <w:rPr>
          <w:color w:val="0F1115"/>
          <w:szCs w:val="30"/>
        </w:rPr>
        <w:t xml:space="preserve"> и коначне експлоративне анализе прикупљеног материјала.</w:t>
      </w:r>
    </w:p>
    <w:p w14:paraId="0751B1EB" w14:textId="77777777" w:rsidR="00086E10" w:rsidRPr="003F13B1" w:rsidRDefault="00086E10" w:rsidP="00133D70">
      <w:pPr>
        <w:pStyle w:val="Heading2"/>
        <w:jc w:val="both"/>
      </w:pPr>
      <w:bookmarkStart w:id="5" w:name="_Toc238481648"/>
      <w:r>
        <w:t xml:space="preserve">2.1. Прикупљање </w:t>
      </w:r>
      <w:r>
        <w:rPr>
          <w:lang w:val="sr-Cyrl-RS"/>
        </w:rPr>
        <w:t xml:space="preserve">необрађених </w:t>
      </w:r>
      <w:r>
        <w:t>података са друштвених мрежа</w:t>
      </w:r>
      <w:bookmarkEnd w:id="5"/>
    </w:p>
    <w:p w14:paraId="6423446F" w14:textId="77777777"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lastRenderedPageBreak/>
        <w:t xml:space="preserve">Извор за корпус података модела,  </w:t>
      </w:r>
      <w:r>
        <w:rPr>
          <w:color w:val="0F1115"/>
          <w:szCs w:val="30"/>
        </w:rPr>
        <w:t xml:space="preserve">за ово истраживање чинили су јавно доступни коментари са четири друштвене мреже: </w:t>
      </w:r>
      <w:r>
        <w:rPr>
          <w:b/>
          <w:bCs/>
          <w:color w:val="0F1115"/>
          <w:szCs w:val="30"/>
        </w:rPr>
        <w:t>Instagram</w:t>
      </w:r>
      <w:r>
        <w:rPr>
          <w:color w:val="0F1115"/>
          <w:szCs w:val="30"/>
        </w:rPr>
        <w:t xml:space="preserve">, </w:t>
      </w:r>
      <w:r>
        <w:rPr>
          <w:b/>
          <w:bCs/>
          <w:color w:val="0F1115"/>
          <w:szCs w:val="30"/>
        </w:rPr>
        <w:t>X</w:t>
      </w:r>
      <w:r>
        <w:rPr>
          <w:color w:val="0F1115"/>
          <w:szCs w:val="30"/>
        </w:rPr>
        <w:t xml:space="preserve">, </w:t>
      </w:r>
      <w:r>
        <w:rPr>
          <w:b/>
          <w:bCs/>
          <w:color w:val="0F1115"/>
          <w:szCs w:val="30"/>
        </w:rPr>
        <w:t>YouTube</w:t>
      </w:r>
      <w:r>
        <w:rPr>
          <w:color w:val="0F1115"/>
          <w:szCs w:val="30"/>
        </w:rPr>
        <w:t xml:space="preserve"> и </w:t>
      </w:r>
      <w:r>
        <w:rPr>
          <w:b/>
          <w:bCs/>
          <w:color w:val="0F1115"/>
          <w:szCs w:val="30"/>
        </w:rPr>
        <w:t>Facebook</w:t>
      </w:r>
      <w:r>
        <w:rPr>
          <w:color w:val="0F1115"/>
          <w:szCs w:val="30"/>
        </w:rPr>
        <w:t xml:space="preserve">.  </w:t>
      </w:r>
      <w:r>
        <w:rPr>
          <w:color w:val="0F1115"/>
          <w:szCs w:val="30"/>
          <w:lang w:val="sr-Cyrl-RS"/>
        </w:rPr>
        <w:t>Управо ове платформе</w:t>
      </w:r>
      <w:r>
        <w:rPr>
          <w:color w:val="0F1115"/>
          <w:szCs w:val="30"/>
        </w:rPr>
        <w:t xml:space="preserve">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
    <w:p w14:paraId="38053BC7" w14:textId="77777777" w:rsidR="00FE4255" w:rsidRPr="00FE4255" w:rsidRDefault="00FE4255" w:rsidP="00FE4255">
      <w:pPr>
        <w:pStyle w:val="ds-markdown-paragraph"/>
        <w:spacing w:before="299" w:after="299"/>
        <w:ind w:firstLine="720"/>
        <w:jc w:val="both"/>
        <w:rPr>
          <w:color w:val="0F1115"/>
          <w:szCs w:val="30"/>
        </w:rPr>
      </w:pPr>
      <w:r>
        <w:rPr>
          <w:color w:val="0F1115"/>
          <w:szCs w:val="30"/>
        </w:rPr>
        <w:t>Иако је у иницијалном предлогу пројекта разматрано укључивање и коментара са информативних портала, након детаљније анализе одлучено је да се истраживање фокусира искључиво на друштвене мреже. Ова одлука заснована је на следећим разлозима:</w:t>
      </w:r>
    </w:p>
    <w:p w14:paraId="3BD318E2" w14:textId="77777777" w:rsidR="00FE4255" w:rsidRPr="00FE4255" w:rsidRDefault="00FE4255" w:rsidP="00FE4255">
      <w:pPr>
        <w:pStyle w:val="ds-markdown-paragraph"/>
        <w:numPr>
          <w:ilvl w:val="0"/>
          <w:numId w:val="15"/>
        </w:numPr>
        <w:spacing w:before="299" w:after="299"/>
        <w:jc w:val="both"/>
        <w:rPr>
          <w:color w:val="0F1115"/>
          <w:szCs w:val="30"/>
        </w:rPr>
      </w:pPr>
      <w:r>
        <w:rPr>
          <w:b/>
          <w:bCs/>
          <w:color w:val="0F1115"/>
          <w:szCs w:val="30"/>
        </w:rPr>
        <w:t>Аутентичност језика</w:t>
      </w:r>
      <w:r>
        <w:rPr>
          <w:color w:val="0F1115"/>
          <w:szCs w:val="30"/>
        </w:rPr>
        <w:t> – коментари на друштвеним мрежама карактеришу се неформалним изразима, сленгом, скраћеницама и правописним грешкама, што их чини репрезентативнијим за свакодневну комуникацију и изражавање ставова. Рад са оваквим текстом представља кључни изазов у обради природних језика.</w:t>
      </w:r>
    </w:p>
    <w:p w14:paraId="2C6E7CE8" w14:textId="77777777" w:rsidR="00FE4255" w:rsidRPr="00FE4255" w:rsidRDefault="00FE4255" w:rsidP="00FE4255">
      <w:pPr>
        <w:pStyle w:val="ds-markdown-paragraph"/>
        <w:numPr>
          <w:ilvl w:val="0"/>
          <w:numId w:val="15"/>
        </w:numPr>
        <w:jc w:val="both"/>
        <w:rPr>
          <w:color w:val="0F1115"/>
          <w:szCs w:val="30"/>
        </w:rPr>
      </w:pPr>
      <w:r>
        <w:rPr>
          <w:b/>
          <w:bCs/>
          <w:color w:val="0F1115"/>
          <w:szCs w:val="30"/>
        </w:rPr>
        <w:t>Обим и брзина прикупљања</w:t>
      </w:r>
      <w:r>
        <w:rPr>
          <w:color w:val="0F1115"/>
          <w:szCs w:val="30"/>
        </w:rPr>
        <w:t> – друштвене мреже омогућавају прикупљање великог броја коментара у кратком временском периоду, за разлику од информативних портала који имају различите системе за коментарисање и строжија правила модерације.</w:t>
      </w:r>
    </w:p>
    <w:p w14:paraId="25BA8BDA" w14:textId="77777777" w:rsidR="00FE4255" w:rsidRPr="00FE4255" w:rsidRDefault="00FE4255" w:rsidP="00FE4255">
      <w:pPr>
        <w:pStyle w:val="ds-markdown-paragraph"/>
        <w:numPr>
          <w:ilvl w:val="0"/>
          <w:numId w:val="15"/>
        </w:numPr>
        <w:jc w:val="both"/>
        <w:rPr>
          <w:color w:val="0F1115"/>
          <w:szCs w:val="30"/>
        </w:rPr>
      </w:pPr>
      <w:r>
        <w:rPr>
          <w:b/>
          <w:bCs/>
          <w:color w:val="0F1115"/>
          <w:szCs w:val="30"/>
        </w:rPr>
        <w:t>Конзистентност и методолошка једноставност</w:t>
      </w:r>
      <w:r>
        <w:rPr>
          <w:color w:val="0F1115"/>
          <w:szCs w:val="30"/>
        </w:rPr>
        <w:t xml:space="preserve"> – фокусирањем на један опсег извора (друштвене мреже) обезбеђује се већа уједначеност формата и структуре података. </w:t>
      </w:r>
    </w:p>
    <w:p w14:paraId="0093ED2F" w14:textId="77777777" w:rsidR="00FE4255" w:rsidRPr="00FE4255" w:rsidRDefault="00FE4255" w:rsidP="00FE4255">
      <w:pPr>
        <w:pStyle w:val="ds-markdown-paragraph"/>
        <w:numPr>
          <w:ilvl w:val="0"/>
          <w:numId w:val="15"/>
        </w:numPr>
        <w:jc w:val="both"/>
        <w:rPr>
          <w:color w:val="0F1115"/>
          <w:szCs w:val="30"/>
        </w:rPr>
      </w:pPr>
      <w:r>
        <w:rPr>
          <w:b/>
          <w:bCs/>
          <w:color w:val="0F1115"/>
          <w:szCs w:val="30"/>
        </w:rPr>
        <w:t>Репрезентативност јавног дискурса</w:t>
      </w:r>
      <w:r>
        <w:rPr>
          <w:color w:val="0F1115"/>
          <w:szCs w:val="30"/>
        </w:rPr>
        <w:t xml:space="preserve"> – друштвене мреже су постале примарни простор за политичко изражавање грађана, где се ставови формирају и размењују у реалном времену. Коментари на информативним порталима често представљају уже сегменте публике са израженијим политичким опредељењима, док друштвене мреже пружају шири пресек друштва.</w:t>
      </w:r>
    </w:p>
    <w:p w14:paraId="45FEE663" w14:textId="77777777" w:rsidR="00FE4255" w:rsidRPr="00FE4255" w:rsidRDefault="00FE4255" w:rsidP="00FE4255">
      <w:pPr>
        <w:pStyle w:val="ds-markdown-paragraph"/>
        <w:ind w:firstLine="720"/>
        <w:jc w:val="both"/>
        <w:rPr>
          <w:color w:val="0F1115"/>
          <w:szCs w:val="30"/>
        </w:rPr>
      </w:pPr>
      <w:r>
        <w:rPr>
          <w:color w:val="0F1115"/>
          <w:szCs w:val="30"/>
        </w:rPr>
        <w:t>Имајући у виду наведене разлоге, одлука да се истраживање ограничи на друштвене мреже показала се оправданом, јер one пружају довољно обиман, разноврстан и аутентичан корпус за све фазе истраживања, уз истовремено очување методолошке конзистентности.</w:t>
      </w:r>
    </w:p>
    <w:p w14:paraId="5ED9344A" w14:textId="77777777" w:rsidR="00FE4255" w:rsidRPr="00FE4255" w:rsidRDefault="00FE4255" w:rsidP="00FE4255">
      <w:pPr>
        <w:pStyle w:val="ds-markdown-paragraph"/>
        <w:ind w:left="720"/>
        <w:jc w:val="both"/>
        <w:rPr>
          <w:color w:val="0F1115"/>
          <w:szCs w:val="30"/>
        </w:rPr>
      </w:pPr>
    </w:p>
    <w:p w14:paraId="4DB7D565" w14:textId="77777777" w:rsidR="00504738" w:rsidRDefault="00FE4255" w:rsidP="00970AD5">
      <w:pPr>
        <w:ind w:firstLine="720"/>
        <w:jc w:val="both"/>
        <w:rPr>
          <w:color w:val="0F1115"/>
          <w:szCs w:val="30"/>
          <w:lang w:val="sr-Cyrl-RS"/>
        </w:rPr>
      </w:pPr>
      <w:r>
        <w:rPr>
          <w:color w:val="0F1115"/>
          <w:szCs w:val="30"/>
        </w:rPr>
        <w:t>Прикупљање је вршено претраживањем објава које се односе на студентске протесте у периоду 2024–2026. године, након чега су екстраховани сви коментари испод одабраних репрезентативних објава. Укупан број сирових коментара износио је 10.870, док је након чишћења задржано 8.912 коментара.</w:t>
      </w:r>
    </w:p>
    <w:p w14:paraId="20826DB8" w14:textId="77777777" w:rsidR="00970AD5" w:rsidRPr="003F13B1" w:rsidRDefault="00970AD5" w:rsidP="00970AD5">
      <w:pPr>
        <w:jc w:val="center"/>
        <w:rPr>
          <w:sz w:val="20"/>
        </w:rPr>
      </w:pPr>
      <w:r>
        <w:rPr>
          <w:noProof/>
          <w:color w:val="000000"/>
          <w:w w:val="0"/>
          <w:sz w:val="0"/>
          <w:szCs w:val="0"/>
          <w:u w:color="000000"/>
          <w:bdr w:val="none" w:sz="0" w:space="0" w:color="000000"/>
          <w:shd w:val="clear" w:color="000000" w:fill="000000"/>
          <w:lang w:val="en-US"/>
        </w:rPr>
        <w:lastRenderedPageBreak/>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46B7E025" w14:textId="77777777" w:rsidR="00970AD5" w:rsidRPr="003F13B1" w:rsidRDefault="00970AD5" w:rsidP="00970AD5">
      <w:pPr>
        <w:jc w:val="center"/>
        <w:rPr>
          <w:szCs w:val="32"/>
          <w:lang w:val="sr-Cyrl-RS"/>
        </w:rPr>
      </w:pPr>
      <w:r>
        <w:rPr>
          <w:szCs w:val="32"/>
          <w:lang w:val="sr-Cyrl-RS"/>
        </w:rPr>
        <w:t>Слика 2.1 Прикупљени коментари по платформи</w:t>
      </w:r>
    </w:p>
    <w:p w14:paraId="171EBD0B" w14:textId="77777777" w:rsidR="00504738" w:rsidRDefault="00970AD5" w:rsidP="00970AD5">
      <w:pPr>
        <w:pStyle w:val="ds-markdown-paragraph"/>
        <w:shd w:val="clear" w:color="auto" w:fill="FFFFFF"/>
        <w:spacing w:before="299" w:beforeAutospacing="0" w:after="299" w:afterAutospacing="0"/>
        <w:ind w:firstLine="720"/>
        <w:jc w:val="both"/>
        <w:rPr>
          <w:color w:val="0F1115"/>
          <w:szCs w:val="30"/>
        </w:rPr>
      </w:pPr>
      <w:r>
        <w:rPr>
          <w:color w:val="0F1115"/>
          <w:szCs w:val="30"/>
        </w:rPr>
        <w:t>Као што се види</w:t>
      </w:r>
      <w:r>
        <w:rPr>
          <w:color w:val="0F1115"/>
          <w:szCs w:val="30"/>
          <w:lang w:val="sr-Cyrl-RS"/>
        </w:rPr>
        <w:t xml:space="preserve"> на Слици 2.1</w:t>
      </w:r>
      <w:r>
        <w:rPr>
          <w:color w:val="0F1115"/>
          <w:szCs w:val="30"/>
        </w:rPr>
        <w:t xml:space="preserve">, </w:t>
      </w:r>
      <w:r>
        <w:rPr>
          <w:i/>
          <w:iCs/>
          <w:color w:val="0F1115"/>
          <w:szCs w:val="30"/>
        </w:rPr>
        <w:t>Instagram</w:t>
      </w:r>
      <w:r>
        <w:rPr>
          <w:color w:val="0F1115"/>
          <w:szCs w:val="30"/>
        </w:rPr>
        <w:t xml:space="preserve"> је најзаступљенија платформа у </w:t>
      </w:r>
      <w:r>
        <w:rPr>
          <w:color w:val="0F1115"/>
          <w:szCs w:val="30"/>
          <w:lang w:val="sr-Cyrl-RS"/>
        </w:rPr>
        <w:t>необрађеном</w:t>
      </w:r>
      <w:r>
        <w:rPr>
          <w:color w:val="0F1115"/>
          <w:szCs w:val="30"/>
        </w:rPr>
        <w:t xml:space="preserve"> корпусу са 6.605 коментара, док су остале платформе подједнако заступљене са око 1.200–1.600 коментара.</w:t>
      </w:r>
    </w:p>
    <w:p w14:paraId="1146FB0F" w14:textId="77777777" w:rsidR="005412C7" w:rsidRDefault="005412C7" w:rsidP="00970AD5">
      <w:pPr>
        <w:pStyle w:val="ds-markdown-paragraph"/>
        <w:shd w:val="clear" w:color="auto" w:fill="FFFFFF"/>
        <w:spacing w:before="299" w:beforeAutospacing="0" w:after="299" w:afterAutospacing="0"/>
        <w:ind w:firstLine="720"/>
        <w:jc w:val="both"/>
        <w:rPr>
          <w:color w:val="0F1115"/>
          <w:szCs w:val="30"/>
        </w:rPr>
      </w:pPr>
      <w:r>
        <w:rPr>
          <w:color w:val="0F1115"/>
          <w:szCs w:val="30"/>
          <w:lang w:val="en-GB"/>
        </w:rPr>
        <w:t>За прикупљање података коришћене су</w:t>
      </w:r>
      <w:r>
        <w:rPr>
          <w:color w:val="0F1115"/>
          <w:szCs w:val="30"/>
          <w:lang w:val="sr-Cyrl-RS"/>
        </w:rPr>
        <w:t xml:space="preserve"> </w:t>
      </w:r>
      <w:r>
        <w:rPr>
          <w:b/>
          <w:bCs/>
          <w:color w:val="0F1115"/>
          <w:szCs w:val="30"/>
          <w:lang w:val="en-GB"/>
        </w:rPr>
        <w:t>аутоматизоване скрипте</w:t>
      </w:r>
      <w:r>
        <w:rPr>
          <w:color w:val="0F1115"/>
          <w:szCs w:val="30"/>
          <w:lang w:val="en-GB"/>
        </w:rPr>
        <w:t xml:space="preserve">, које су омогућиле ефикасну екстракцију великог броја коментара са различитих платформи. </w:t>
      </w:r>
      <w:r>
        <w:rPr>
          <w:color w:val="0F1115"/>
          <w:szCs w:val="30"/>
        </w:rPr>
        <w:t xml:space="preserve">На </w:t>
      </w:r>
      <w:r>
        <w:rPr>
          <w:color w:val="0F1115"/>
          <w:szCs w:val="30"/>
          <w:lang w:val="sr-Cyrl-RS"/>
        </w:rPr>
        <w:t>тај</w:t>
      </w:r>
      <w:r>
        <w:rPr>
          <w:color w:val="0F1115"/>
          <w:szCs w:val="30"/>
        </w:rPr>
        <w:t xml:space="preserve"> начин, скрипте омогућавају систематско, поновљиво и ефикасно прикупљање великог броја коментара са различитих платформи, уз истовремено одржавање конзистентности формата података неопходне за наредне фазе анотације и обучавања модела.</w:t>
      </w:r>
    </w:p>
    <w:p w14:paraId="6B1A1A6E" w14:textId="77777777" w:rsidR="00504738" w:rsidRPr="00970AD5" w:rsidRDefault="00504738" w:rsidP="00504738">
      <w:pPr>
        <w:pStyle w:val="Heading3"/>
        <w:rPr>
          <w:i/>
          <w:iCs/>
          <w:color w:val="auto"/>
          <w:lang w:val="sr-Cyrl-RS"/>
        </w:rPr>
      </w:pPr>
      <w:r>
        <w:rPr>
          <w:color w:val="auto"/>
        </w:rPr>
        <w:t xml:space="preserve">2.1.1 </w:t>
      </w:r>
      <w:r>
        <w:rPr>
          <w:color w:val="auto"/>
          <w:lang w:val="sr-Cyrl-RS"/>
        </w:rPr>
        <w:t xml:space="preserve">Аутоматизоване скрипте за </w:t>
      </w:r>
      <w:r>
        <w:rPr>
          <w:i/>
          <w:iCs/>
          <w:color w:val="auto"/>
          <w:lang w:val="en-US"/>
        </w:rPr>
        <w:t>Instagram</w:t>
      </w:r>
      <w:r>
        <w:rPr>
          <w:i/>
          <w:iCs/>
          <w:color w:val="auto"/>
          <w:lang w:val="sr-Cyrl-RS"/>
        </w:rPr>
        <w:t xml:space="preserve"> </w:t>
      </w:r>
      <w:r>
        <w:rPr>
          <w:color w:val="auto"/>
          <w:lang w:val="sr-Cyrl-RS"/>
        </w:rPr>
        <w:t>и</w:t>
      </w:r>
      <w:r>
        <w:rPr>
          <w:i/>
          <w:iCs/>
          <w:color w:val="auto"/>
          <w:lang w:val="sr-Cyrl-RS"/>
        </w:rPr>
        <w:t xml:space="preserve"> </w:t>
      </w:r>
      <w:r>
        <w:rPr>
          <w:i/>
          <w:iCs/>
          <w:color w:val="0F1115"/>
          <w:szCs w:val="30"/>
          <w:lang w:val="en-US"/>
        </w:rPr>
        <w:t>X</w:t>
      </w:r>
    </w:p>
    <w:p w14:paraId="6374DFB3" w14:textId="77777777" w:rsidR="00504738" w:rsidRDefault="00504738" w:rsidP="00504738">
      <w:pPr>
        <w:ind w:firstLine="720"/>
        <w:jc w:val="both"/>
        <w:rPr>
          <w:color w:val="0F1115"/>
          <w:szCs w:val="30"/>
          <w:lang w:val="en-US"/>
        </w:rPr>
      </w:pPr>
    </w:p>
    <w:p w14:paraId="15B6CC0B" w14:textId="77777777" w:rsidR="00970AD5" w:rsidRPr="00970AD5" w:rsidRDefault="00970AD5" w:rsidP="00970AD5">
      <w:pPr>
        <w:ind w:firstLine="720"/>
        <w:jc w:val="both"/>
        <w:rPr>
          <w:color w:val="0F1115"/>
          <w:szCs w:val="30"/>
          <w:lang w:val="en-US"/>
        </w:rPr>
      </w:pPr>
      <w:r>
        <w:rPr>
          <w:color w:val="0F1115"/>
          <w:szCs w:val="30"/>
          <w:lang w:val="sr-Cyrl-RS"/>
        </w:rPr>
        <w:t>З</w:t>
      </w:r>
      <w:r>
        <w:rPr>
          <w:color w:val="0F1115"/>
          <w:szCs w:val="30"/>
          <w:lang w:val="en-US"/>
        </w:rPr>
        <w:t xml:space="preserve">а прикупљање коментара са </w:t>
      </w:r>
      <w:r>
        <w:rPr>
          <w:i/>
          <w:iCs/>
          <w:color w:val="0F1115"/>
          <w:szCs w:val="30"/>
          <w:lang w:val="en-US"/>
        </w:rPr>
        <w:t>Instagram</w:t>
      </w:r>
      <w:r>
        <w:rPr>
          <w:color w:val="0F1115"/>
          <w:szCs w:val="30"/>
          <w:lang w:val="en-US"/>
        </w:rPr>
        <w:t xml:space="preserve">-а и X-а коришћене су скрипте које шаљу HTTP захтеве ка интерним </w:t>
      </w:r>
      <w:r>
        <w:rPr>
          <w:i/>
          <w:iCs/>
          <w:color w:val="0F1115"/>
          <w:szCs w:val="30"/>
          <w:lang w:val="en-US"/>
        </w:rPr>
        <w:t>endpoint</w:t>
      </w:r>
      <w:r>
        <w:rPr>
          <w:color w:val="0F1115"/>
          <w:szCs w:val="30"/>
          <w:lang w:val="en-US"/>
        </w:rPr>
        <w:t>-</w:t>
      </w:r>
      <w:r>
        <w:rPr>
          <w:color w:val="0F1115"/>
          <w:szCs w:val="30"/>
          <w:lang w:val="sr-Cyrl-RS"/>
        </w:rPr>
        <w:t>има</w:t>
      </w:r>
      <w:r>
        <w:rPr>
          <w:color w:val="0F1115"/>
          <w:szCs w:val="30"/>
          <w:lang w:val="en-US"/>
        </w:rPr>
        <w:t xml:space="preserve"> ових платформи. Обе скрипте функционишу на сличан начин – симулирају захтеве које шаље мобилна апликација или веб прегледач, при чему не користе званичне API кључеве већ приступају јавно доступним садржајима преко незваничних, интерних </w:t>
      </w:r>
      <w:r>
        <w:rPr>
          <w:i/>
          <w:iCs/>
          <w:color w:val="0F1115"/>
          <w:szCs w:val="30"/>
          <w:lang w:val="en-US"/>
        </w:rPr>
        <w:t>endpoint</w:t>
      </w:r>
      <w:r>
        <w:rPr>
          <w:color w:val="0F1115"/>
          <w:szCs w:val="30"/>
          <w:lang w:val="en-US"/>
        </w:rPr>
        <w:t xml:space="preserve">-a. Ови </w:t>
      </w:r>
      <w:r>
        <w:rPr>
          <w:i/>
          <w:iCs/>
          <w:color w:val="0F1115"/>
          <w:szCs w:val="30"/>
          <w:lang w:val="en-US"/>
        </w:rPr>
        <w:t>endpoint-</w:t>
      </w:r>
      <w:r>
        <w:rPr>
          <w:color w:val="0F1115"/>
          <w:szCs w:val="30"/>
          <w:lang w:val="sr-Cyrl-RS"/>
        </w:rPr>
        <w:t>и</w:t>
      </w:r>
      <w:r>
        <w:rPr>
          <w:color w:val="0F1115"/>
          <w:szCs w:val="30"/>
          <w:lang w:val="en-US"/>
        </w:rPr>
        <w:t xml:space="preserve"> враћају податке у JSON формату, а приступ им се остварује искључиво уз важећу корисничку сесију.</w:t>
      </w:r>
    </w:p>
    <w:p w14:paraId="20BE78B2" w14:textId="77777777" w:rsidR="00970AD5" w:rsidRPr="00970AD5" w:rsidRDefault="00970AD5" w:rsidP="00970AD5">
      <w:pPr>
        <w:ind w:firstLine="720"/>
        <w:jc w:val="both"/>
        <w:rPr>
          <w:color w:val="0F1115"/>
          <w:szCs w:val="30"/>
          <w:lang w:val="en-US"/>
        </w:rPr>
      </w:pPr>
      <w:r>
        <w:rPr>
          <w:color w:val="0F1115"/>
          <w:szCs w:val="30"/>
          <w:lang w:val="en-US"/>
        </w:rPr>
        <w:t>Скрипте се позивају навођењем URL адресе објаве</w:t>
      </w:r>
      <w:r>
        <w:rPr>
          <w:color w:val="0F1115"/>
          <w:szCs w:val="30"/>
          <w:lang w:val="sr-Cyrl-RS"/>
        </w:rPr>
        <w:t xml:space="preserve"> </w:t>
      </w:r>
      <w:r>
        <w:rPr>
          <w:color w:val="0F1115"/>
          <w:szCs w:val="30"/>
          <w:lang w:val="en-US"/>
        </w:rPr>
        <w:t>или твита</w:t>
      </w:r>
      <w:r>
        <w:rPr>
          <w:color w:val="0F1115"/>
          <w:szCs w:val="30"/>
          <w:lang w:val="sr-Cyrl-RS"/>
        </w:rPr>
        <w:t xml:space="preserve">, </w:t>
      </w:r>
      <w:r>
        <w:rPr>
          <w:color w:val="0F1115"/>
          <w:szCs w:val="30"/>
          <w:lang w:val="en-US"/>
        </w:rPr>
        <w:t>а могу да обрађују и више објава одједном путем текстуалне датотеке са линковима. За рад обе скрипте неопходно је обезбедити важећу сесију – најчешће преко колачића (</w:t>
      </w:r>
      <w:r>
        <w:rPr>
          <w:i/>
          <w:iCs/>
          <w:color w:val="0F1115"/>
          <w:szCs w:val="30"/>
          <w:lang w:val="en-US"/>
        </w:rPr>
        <w:t>sessionid</w:t>
      </w:r>
      <w:r>
        <w:rPr>
          <w:color w:val="0F1115"/>
          <w:szCs w:val="30"/>
          <w:lang w:val="en-US"/>
        </w:rPr>
        <w:t xml:space="preserve"> за </w:t>
      </w:r>
      <w:r>
        <w:rPr>
          <w:i/>
          <w:iCs/>
          <w:color w:val="0F1115"/>
          <w:szCs w:val="30"/>
          <w:lang w:val="en-US"/>
        </w:rPr>
        <w:t>Instagram</w:t>
      </w:r>
      <w:r>
        <w:rPr>
          <w:color w:val="0F1115"/>
          <w:szCs w:val="30"/>
          <w:lang w:val="en-US"/>
        </w:rPr>
        <w:t xml:space="preserve">, односно сачуваних колачића из прегледача за </w:t>
      </w:r>
      <w:r>
        <w:rPr>
          <w:i/>
          <w:iCs/>
          <w:color w:val="0F1115"/>
          <w:szCs w:val="30"/>
          <w:lang w:val="en-US"/>
        </w:rPr>
        <w:t>X</w:t>
      </w:r>
      <w:r>
        <w:rPr>
          <w:color w:val="0F1115"/>
          <w:szCs w:val="30"/>
          <w:lang w:val="en-US"/>
        </w:rPr>
        <w:t>) који се преузимају након ручне пријаве на платформу. Алтернативно, скрипте подржавају и прослеђивање корисничког имена и лозинке, при чему се пријава обавља аутоматски на почетку извршавања. Ипак, препоручује се коришћење колачића ради стабилности и избегавања додатних безбедносних провера попут двофакторске аутентификације.</w:t>
      </w:r>
    </w:p>
    <w:p w14:paraId="46290F11" w14:textId="77777777" w:rsidR="00970AD5" w:rsidRPr="00970AD5" w:rsidRDefault="00970AD5" w:rsidP="00970AD5">
      <w:pPr>
        <w:ind w:firstLine="720"/>
        <w:jc w:val="both"/>
        <w:rPr>
          <w:color w:val="0F1115"/>
          <w:szCs w:val="30"/>
          <w:lang w:val="en-US"/>
        </w:rPr>
      </w:pPr>
      <w:r>
        <w:rPr>
          <w:color w:val="0F1115"/>
          <w:szCs w:val="30"/>
          <w:lang w:val="en-US"/>
        </w:rPr>
        <w:t xml:space="preserve">Процес прикупљања на обе платформе подразумева слање захтева за коментаре, при чему се коментари преузимају у "страницама" (пагинација) – након преузимања једне групе коментара, скрипта проверава да ли постоји наставак и, ако постоји, шаље наредни </w:t>
        <w:lastRenderedPageBreak/>
        <w:t>захтев са маркером за наставак. Овај процес се понавља док се не преузму сви коментари. Додатно, скрипте преузимају и одговоре на коментаре, што подразумева додатне захтеве за сваки коментар који садржи одговоре.</w:t>
      </w:r>
    </w:p>
    <w:p w14:paraId="3033E72D" w14:textId="77777777" w:rsidR="00970AD5" w:rsidRDefault="00970AD5" w:rsidP="00970AD5">
      <w:pPr>
        <w:ind w:firstLine="720"/>
        <w:jc w:val="both"/>
        <w:rPr>
          <w:color w:val="0F1115"/>
          <w:szCs w:val="30"/>
          <w:lang w:val="sr-Cyrl-RS"/>
        </w:rPr>
      </w:pPr>
      <w:r>
        <w:rPr>
          <w:color w:val="0F1115"/>
          <w:szCs w:val="30"/>
          <w:lang w:val="en-US"/>
        </w:rPr>
        <w:t>Након преузимања, коментари се чувају у структуираном формату – свака објава добија сопствену датотеку са комплетном табелом коментара (у .txt и .json формату), како би се омогућила каснија провера и евентуално поновно прикупљање. Из сваког коментара затим се издваја текстуални садржај, примењује се чишћење (уклањање емотикона), а пречишћени текстови се додају у заједнички корпус за сваку платформу посебно. Између захтева и између објава праве се паузе како би се смањио ризик од преоптерећења сервера и блокирања IP адресе.</w:t>
      </w:r>
    </w:p>
    <w:p w14:paraId="523887AE" w14:textId="77777777" w:rsidR="00970AD5" w:rsidRDefault="00970AD5" w:rsidP="00970AD5">
      <w:pPr>
        <w:ind w:firstLine="720"/>
        <w:jc w:val="both"/>
        <w:rPr>
          <w:color w:val="0F1115"/>
          <w:szCs w:val="30"/>
          <w:lang w:val="sr-Cyrl-RS"/>
        </w:rPr>
      </w:pPr>
    </w:p>
    <w:p w14:paraId="5DBA1259" w14:textId="77777777" w:rsidR="00970AD5" w:rsidRPr="00970AD5" w:rsidRDefault="00970AD5" w:rsidP="00970AD5">
      <w:pPr>
        <w:pStyle w:val="Heading3"/>
        <w:rPr>
          <w:i/>
          <w:iCs/>
          <w:color w:val="auto"/>
          <w:lang w:val="en-US"/>
        </w:rPr>
      </w:pPr>
      <w:r>
        <w:rPr>
          <w:color w:val="auto"/>
        </w:rPr>
        <w:t>2.1</w:t>
      </w:r>
      <w:r>
        <w:rPr>
          <w:color w:val="auto"/>
          <w:lang w:val="sr-Cyrl-RS"/>
        </w:rPr>
        <w:t>.2</w:t>
      </w:r>
      <w:r>
        <w:rPr>
          <w:color w:val="auto"/>
        </w:rPr>
        <w:t xml:space="preserve"> </w:t>
      </w:r>
      <w:r>
        <w:rPr>
          <w:color w:val="auto"/>
          <w:lang w:val="sr-Cyrl-RS"/>
        </w:rPr>
        <w:t xml:space="preserve">Аутоматизована скрипта за </w:t>
      </w:r>
      <w:r>
        <w:rPr>
          <w:i/>
          <w:iCs/>
          <w:color w:val="auto"/>
          <w:lang w:val="en-US"/>
        </w:rPr>
        <w:t>YouTube</w:t>
      </w:r>
    </w:p>
    <w:p w14:paraId="465ECF00" w14:textId="77777777" w:rsidR="00970AD5" w:rsidRPr="00970AD5" w:rsidRDefault="00970AD5" w:rsidP="00970AD5">
      <w:pPr>
        <w:jc w:val="both"/>
        <w:rPr>
          <w:color w:val="0F1115"/>
          <w:szCs w:val="30"/>
          <w:lang w:val="en-US"/>
        </w:rPr>
      </w:pPr>
    </w:p>
    <w:p w14:paraId="3E3817B4" w14:textId="77777777" w:rsidR="00970AD5" w:rsidRPr="00970AD5" w:rsidRDefault="00970AD5" w:rsidP="00970AD5">
      <w:pPr>
        <w:ind w:firstLine="720"/>
        <w:jc w:val="both"/>
        <w:rPr>
          <w:color w:val="0F1115"/>
          <w:szCs w:val="30"/>
          <w:lang w:val="en-US"/>
        </w:rPr>
      </w:pPr>
      <w:r>
        <w:rPr>
          <w:color w:val="0F1115"/>
          <w:szCs w:val="30"/>
          <w:lang w:val="en-US"/>
        </w:rPr>
        <w:t xml:space="preserve">За прикупљање коментара са </w:t>
      </w:r>
      <w:r>
        <w:rPr>
          <w:i/>
          <w:iCs/>
          <w:color w:val="0F1115"/>
          <w:szCs w:val="30"/>
          <w:lang w:val="en-US"/>
        </w:rPr>
        <w:t>YouTube</w:t>
      </w:r>
      <w:r>
        <w:rPr>
          <w:color w:val="0F1115"/>
          <w:szCs w:val="30"/>
          <w:lang w:val="en-US"/>
        </w:rPr>
        <w:t>-а коришћена је скрипта која преузима коментаре испод видео-записа. Скрипта се позива навођењем URL адресе, а подржава обраду више видеа одједном.</w:t>
      </w:r>
    </w:p>
    <w:p w14:paraId="08F23307" w14:textId="77777777" w:rsidR="00970AD5" w:rsidRPr="00970AD5" w:rsidRDefault="00970AD5" w:rsidP="00970AD5">
      <w:pPr>
        <w:ind w:firstLine="720"/>
        <w:jc w:val="both"/>
        <w:rPr>
          <w:color w:val="0F1115"/>
          <w:szCs w:val="30"/>
          <w:lang w:val="en-US"/>
        </w:rPr>
      </w:pPr>
      <w:r>
        <w:rPr>
          <w:color w:val="0F1115"/>
          <w:szCs w:val="30"/>
          <w:lang w:val="en-US"/>
        </w:rPr>
        <w:t xml:space="preserve">За разлику од </w:t>
      </w:r>
      <w:r>
        <w:rPr>
          <w:i/>
          <w:iCs/>
          <w:color w:val="0F1115"/>
          <w:szCs w:val="30"/>
          <w:lang w:val="en-US"/>
        </w:rPr>
        <w:t>Instagram</w:t>
      </w:r>
      <w:r>
        <w:rPr>
          <w:color w:val="0F1115"/>
          <w:szCs w:val="30"/>
          <w:lang w:val="en-US"/>
        </w:rPr>
        <w:t xml:space="preserve">-а и </w:t>
      </w:r>
      <w:r>
        <w:rPr>
          <w:i/>
          <w:iCs/>
          <w:color w:val="0F1115"/>
          <w:szCs w:val="30"/>
          <w:lang w:val="en-US"/>
        </w:rPr>
        <w:t>X</w:t>
      </w:r>
      <w:r>
        <w:rPr>
          <w:color w:val="0F1115"/>
          <w:szCs w:val="30"/>
          <w:lang w:val="en-US"/>
        </w:rPr>
        <w:t xml:space="preserve">-а, </w:t>
      </w:r>
      <w:r>
        <w:rPr>
          <w:i/>
          <w:iCs/>
          <w:color w:val="0F1115"/>
          <w:szCs w:val="30"/>
          <w:lang w:val="en-US"/>
        </w:rPr>
        <w:t>YouTube</w:t>
      </w:r>
      <w:r>
        <w:rPr>
          <w:color w:val="0F1115"/>
          <w:szCs w:val="30"/>
          <w:lang w:val="en-US"/>
        </w:rPr>
        <w:t xml:space="preserve"> коментари су јавно доступни и не захтевају пријаву за преузимање. Скрипта не користи API кључ, већ приступа садржајима преко јавних </w:t>
      </w:r>
      <w:r>
        <w:rPr>
          <w:i/>
          <w:iCs/>
          <w:color w:val="0F1115"/>
          <w:szCs w:val="30"/>
          <w:lang w:val="en-US"/>
        </w:rPr>
        <w:t>endpoint</w:t>
      </w:r>
      <w:r>
        <w:rPr>
          <w:color w:val="0F1115"/>
          <w:szCs w:val="30"/>
          <w:lang w:val="en-US"/>
        </w:rPr>
        <w:t>-a. Ово значајно поједностављује процес прикупљања, јер нема потребе за управљањем сесијама или колачићима.</w:t>
      </w:r>
    </w:p>
    <w:p w14:paraId="4E9C56D4" w14:textId="77777777" w:rsidR="00970AD5" w:rsidRPr="00970AD5" w:rsidRDefault="00970AD5" w:rsidP="00970AD5">
      <w:pPr>
        <w:ind w:firstLine="720"/>
        <w:jc w:val="both"/>
        <w:rPr>
          <w:color w:val="0F1115"/>
          <w:szCs w:val="30"/>
          <w:lang w:val="en-US"/>
        </w:rPr>
      </w:pPr>
      <w:r>
        <w:rPr>
          <w:color w:val="0F1115"/>
          <w:szCs w:val="30"/>
          <w:lang w:val="en-US"/>
        </w:rPr>
        <w:t>Након преузимања, коментари се чувају у структуираном формату, издваја се текстуални садржај, уклањају емотикони и пречишћени текстови се додају у заједнички корпус. Сваки видео се обрађује посебно, а датотеке садрже ID видеа и временску ознаку.</w:t>
      </w:r>
    </w:p>
    <w:p w14:paraId="5EBBE133" w14:textId="77777777" w:rsidR="00970AD5" w:rsidRDefault="00970AD5" w:rsidP="00970AD5">
      <w:pPr>
        <w:ind w:firstLine="720"/>
        <w:jc w:val="both"/>
        <w:rPr>
          <w:color w:val="0F1115"/>
          <w:szCs w:val="30"/>
          <w:lang w:val="en-US"/>
        </w:rPr>
      </w:pPr>
    </w:p>
    <w:p w14:paraId="68BB47BA" w14:textId="77777777" w:rsidR="005412C7" w:rsidRPr="005412C7" w:rsidRDefault="005412C7" w:rsidP="005412C7">
      <w:pPr>
        <w:pStyle w:val="Heading3"/>
        <w:rPr>
          <w:i/>
          <w:iCs/>
          <w:color w:val="auto"/>
          <w:lang w:val="en-US"/>
        </w:rPr>
      </w:pPr>
      <w:r>
        <w:rPr>
          <w:color w:val="auto"/>
        </w:rPr>
        <w:t>2.1</w:t>
      </w:r>
      <w:r>
        <w:rPr>
          <w:color w:val="auto"/>
          <w:lang w:val="sr-Cyrl-RS"/>
        </w:rPr>
        <w:t>.</w:t>
      </w:r>
      <w:r>
        <w:rPr>
          <w:color w:val="auto"/>
          <w:lang w:val="en-US"/>
        </w:rPr>
        <w:t>3</w:t>
      </w:r>
      <w:r>
        <w:rPr>
          <w:color w:val="auto"/>
        </w:rPr>
        <w:t xml:space="preserve"> </w:t>
      </w:r>
      <w:r>
        <w:rPr>
          <w:color w:val="auto"/>
          <w:lang w:val="sr-Cyrl-RS"/>
        </w:rPr>
        <w:t xml:space="preserve">Аутоматизована скрипта за </w:t>
      </w:r>
      <w:r>
        <w:rPr>
          <w:i/>
          <w:iCs/>
          <w:color w:val="auto"/>
          <w:lang w:val="en-US"/>
        </w:rPr>
        <w:t>Facebook</w:t>
      </w:r>
    </w:p>
    <w:p w14:paraId="73BBA17B" w14:textId="77777777" w:rsidR="00504738" w:rsidRDefault="00504738" w:rsidP="00970AD5">
      <w:pPr>
        <w:jc w:val="both"/>
        <w:rPr>
          <w:color w:val="0F1115"/>
          <w:szCs w:val="30"/>
          <w:lang w:val="en-US"/>
        </w:rPr>
      </w:pPr>
    </w:p>
    <w:p w14:paraId="002ECFA4" w14:textId="77777777" w:rsidR="005412C7" w:rsidRPr="005412C7" w:rsidRDefault="005412C7" w:rsidP="005412C7">
      <w:pPr>
        <w:ind w:firstLine="720"/>
        <w:jc w:val="both"/>
        <w:rPr>
          <w:color w:val="0F1115"/>
          <w:szCs w:val="30"/>
          <w:lang w:val="en-US"/>
        </w:rPr>
      </w:pPr>
      <w:r>
        <w:rPr>
          <w:color w:val="0F1115"/>
          <w:szCs w:val="30"/>
          <w:lang w:val="en-US"/>
        </w:rPr>
        <w:t xml:space="preserve">За прикупљање коментара са </w:t>
      </w:r>
      <w:r>
        <w:rPr>
          <w:i/>
          <w:iCs/>
          <w:color w:val="0F1115"/>
          <w:szCs w:val="30"/>
          <w:lang w:val="en-US"/>
        </w:rPr>
        <w:t>Facebook</w:t>
      </w:r>
      <w:r>
        <w:rPr>
          <w:color w:val="0F1115"/>
          <w:szCs w:val="30"/>
          <w:lang w:val="en-US"/>
        </w:rPr>
        <w:t xml:space="preserve">-а коришћена је скрипта која покреће прави </w:t>
      </w:r>
      <w:r>
        <w:rPr>
          <w:i/>
          <w:iCs/>
          <w:color w:val="0F1115"/>
          <w:szCs w:val="30"/>
          <w:lang w:val="en-US"/>
        </w:rPr>
        <w:t>Chromium</w:t>
      </w:r>
      <w:r>
        <w:rPr>
          <w:color w:val="0F1115"/>
          <w:szCs w:val="30"/>
          <w:lang w:val="en-US"/>
        </w:rPr>
        <w:t xml:space="preserve"> прегледач преко </w:t>
      </w:r>
      <w:r>
        <w:rPr>
          <w:i/>
          <w:iCs/>
          <w:color w:val="0F1115"/>
          <w:szCs w:val="30"/>
          <w:lang w:val="en-US"/>
        </w:rPr>
        <w:t>Playwright</w:t>
      </w:r>
      <w:r>
        <w:rPr>
          <w:color w:val="0F1115"/>
          <w:szCs w:val="30"/>
          <w:lang w:val="en-US"/>
        </w:rPr>
        <w:t xml:space="preserve"> библиотеке, јер </w:t>
      </w:r>
      <w:r>
        <w:rPr>
          <w:i/>
          <w:iCs/>
          <w:color w:val="0F1115"/>
          <w:szCs w:val="30"/>
          <w:lang w:val="en-US"/>
        </w:rPr>
        <w:t>Facebook</w:t>
      </w:r>
      <w:r>
        <w:rPr>
          <w:color w:val="0F1115"/>
          <w:szCs w:val="30"/>
          <w:lang w:val="en-US"/>
        </w:rPr>
        <w:t xml:space="preserve"> блокира директне HTTP захтеве. Ово је најсложенији поступак прикупљања међу свим платформама.</w:t>
      </w:r>
    </w:p>
    <w:p w14:paraId="1EE0860B" w14:textId="77777777" w:rsidR="005412C7" w:rsidRPr="005412C7" w:rsidRDefault="005412C7" w:rsidP="005412C7">
      <w:pPr>
        <w:ind w:firstLine="720"/>
        <w:jc w:val="both"/>
        <w:rPr>
          <w:color w:val="0F1115"/>
          <w:szCs w:val="30"/>
          <w:lang w:val="en-US"/>
        </w:rPr>
      </w:pPr>
      <w:r>
        <w:rPr>
          <w:color w:val="0F1115"/>
          <w:szCs w:val="30"/>
          <w:lang w:val="en-US"/>
        </w:rPr>
        <w:t xml:space="preserve">Пре покретања скрипте, неопходно је извршити једнократну интерактивну пријаву на </w:t>
      </w:r>
      <w:r>
        <w:rPr>
          <w:i/>
          <w:iCs/>
          <w:color w:val="0F1115"/>
          <w:szCs w:val="30"/>
          <w:lang w:val="en-US"/>
        </w:rPr>
        <w:t>Facebook</w:t>
      </w:r>
      <w:r>
        <w:rPr>
          <w:color w:val="0F1115"/>
          <w:szCs w:val="30"/>
          <w:lang w:val="en-US"/>
        </w:rPr>
        <w:t xml:space="preserve"> путем посебне скрипте, која чува сесију у локалну датотеку. Након тога, главна скрипта користи сачувану сесију за аутоматско прикупљање коментара. Скрипта не користи </w:t>
      </w:r>
      <w:r>
        <w:rPr>
          <w:i/>
          <w:iCs/>
          <w:color w:val="0F1115"/>
          <w:szCs w:val="30"/>
          <w:lang w:val="en-US"/>
        </w:rPr>
        <w:t>Facebook API</w:t>
      </w:r>
      <w:r>
        <w:rPr>
          <w:color w:val="0F1115"/>
          <w:szCs w:val="30"/>
          <w:lang w:val="en-US"/>
        </w:rPr>
        <w:t xml:space="preserve"> кључ, већ симулира понашање стварног корисника у прегледачу.</w:t>
      </w:r>
    </w:p>
    <w:p w14:paraId="26832812" w14:textId="77777777" w:rsidR="005412C7" w:rsidRPr="005412C7" w:rsidRDefault="005412C7" w:rsidP="005412C7">
      <w:pPr>
        <w:ind w:firstLine="720"/>
        <w:jc w:val="both"/>
        <w:rPr>
          <w:color w:val="0F1115"/>
          <w:szCs w:val="30"/>
          <w:lang w:val="en-US"/>
        </w:rPr>
      </w:pPr>
      <w:r>
        <w:rPr>
          <w:color w:val="0F1115"/>
          <w:szCs w:val="30"/>
          <w:lang w:val="en-US"/>
        </w:rPr>
        <w:t xml:space="preserve">Процес прикупљања је знатно сложенији него на другим платформама. Скрипта отвара прегледач, учитава објаву, кликће на дугме за приказ свих коментара (јер </w:t>
      </w:r>
      <w:r>
        <w:rPr>
          <w:i/>
          <w:iCs/>
          <w:color w:val="0F1115"/>
          <w:szCs w:val="30"/>
          <w:lang w:val="en-US"/>
        </w:rPr>
        <w:t>Facebook</w:t>
      </w:r>
      <w:r>
        <w:rPr>
          <w:color w:val="0F1115"/>
          <w:szCs w:val="30"/>
          <w:lang w:val="en-US"/>
        </w:rPr>
        <w:t xml:space="preserve"> подразумевано приказује само "Најрелевантније"), затим врши скроловање и кликће на дугмад "Прикажи још коментара" све док не преузме све коментаре. Посебно се обрађују Reels објаве, где је потребно кликнути на дугме за отварање панела са коментарима. Такође, скрипта кликће на сва дугмад "Прикажи више" како би прочитала цео текст дугачких коментара.</w:t>
      </w:r>
    </w:p>
    <w:p w14:paraId="10A4F4C3" w14:textId="77777777" w:rsidR="005412C7" w:rsidRPr="005412C7" w:rsidRDefault="005412C7" w:rsidP="005412C7">
      <w:pPr>
        <w:ind w:firstLine="720"/>
        <w:jc w:val="both"/>
        <w:rPr>
          <w:color w:val="0F1115"/>
          <w:szCs w:val="30"/>
          <w:lang w:val="en-US"/>
        </w:rPr>
      </w:pPr>
      <w:r>
        <w:rPr>
          <w:color w:val="0F1115"/>
          <w:szCs w:val="30"/>
          <w:lang w:val="en-US"/>
        </w:rPr>
        <w:t xml:space="preserve">Након прикупљања, коментари се чувају у структуираном формату. Као и на другим платформама, издваја се текстуални садржај, уклањају емотикони и пречишћени текстови се додају у заједнички корпус. Због сложености и потребе за прегледачем, прикупљање са </w:t>
      </w:r>
      <w:r>
        <w:rPr>
          <w:i/>
          <w:iCs/>
          <w:color w:val="0F1115"/>
          <w:szCs w:val="30"/>
          <w:lang w:val="en-US"/>
        </w:rPr>
        <w:t>Facebook</w:t>
      </w:r>
      <w:r>
        <w:rPr>
          <w:color w:val="0F1115"/>
          <w:szCs w:val="30"/>
          <w:lang w:val="en-US"/>
        </w:rPr>
        <w:t>-а је знатно спорије него са осталих платформи.</w:t>
      </w:r>
    </w:p>
    <w:p w14:paraId="234E957D" w14:textId="77777777" w:rsidR="005412C7" w:rsidRPr="005412C7" w:rsidRDefault="005412C7" w:rsidP="00970AD5">
      <w:pPr>
        <w:jc w:val="both"/>
        <w:rPr>
          <w:color w:val="0F1115"/>
          <w:szCs w:val="30"/>
          <w:lang w:val="en-US"/>
        </w:rPr>
      </w:pPr>
    </w:p>
    <w:p w14:paraId="18C99C2D" w14:textId="77777777" w:rsidR="00086E10" w:rsidRPr="003F13B1" w:rsidRDefault="00086E10" w:rsidP="00133D70">
      <w:pPr>
        <w:pStyle w:val="Heading2"/>
      </w:pPr>
      <w:bookmarkStart w:id="6" w:name="_Toc238481649"/>
      <w:r>
        <w:lastRenderedPageBreak/>
        <w:t>2.2. Чишћење и стандардизација корпуса</w:t>
      </w:r>
      <w:bookmarkEnd w:id="6"/>
    </w:p>
    <w:p w14:paraId="097933E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r>
        <w:rPr>
          <w:color w:val="0F1115"/>
          <w:szCs w:val="30"/>
          <w:lang w:val="en-GB"/>
        </w:rPr>
        <w:t xml:space="preserve">Сирови коментари са друштвених мрежа карактеришу се различитим облицима неформалности који би значајно отежали рад класификационих модела. Будући да су текстови са друштвених мрежа кратки, неформални и често садрже симболе без лексичког садржаја, чишћење је рађено у два нивоа: </w:t>
      </w:r>
    </w:p>
    <w:p w14:paraId="09C9F32D"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r>
        <w:rPr>
          <w:color w:val="0F1115"/>
          <w:szCs w:val="30"/>
          <w:lang w:val="en-GB"/>
        </w:rPr>
        <w:t xml:space="preserve">припрема </w:t>
      </w:r>
      <w:r>
        <w:rPr>
          <w:color w:val="0F1115"/>
          <w:szCs w:val="30"/>
          <w:lang w:val="sr-Cyrl-RS"/>
        </w:rPr>
        <w:t>необрађеног</w:t>
      </w:r>
      <w:r>
        <w:rPr>
          <w:color w:val="0F1115"/>
          <w:szCs w:val="30"/>
          <w:lang w:val="en-GB"/>
        </w:rPr>
        <w:t xml:space="preserve"> корпуса пре анотације </w:t>
      </w:r>
    </w:p>
    <w:p w14:paraId="2382C44A"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r>
        <w:rPr>
          <w:color w:val="0F1115"/>
          <w:szCs w:val="30"/>
          <w:lang w:val="en-GB"/>
        </w:rPr>
        <w:t xml:space="preserve">претпроцесирање за класичне </w:t>
      </w:r>
      <w:r>
        <w:rPr>
          <w:i/>
          <w:iCs/>
          <w:color w:val="0F1115"/>
          <w:szCs w:val="30"/>
          <w:lang w:val="en-GB"/>
        </w:rPr>
        <w:t>baseline</w:t>
      </w:r>
      <w:r>
        <w:rPr>
          <w:color w:val="0F1115"/>
          <w:szCs w:val="30"/>
          <w:lang w:val="en-GB"/>
        </w:rPr>
        <w:t xml:space="preserve"> моделе.</w:t>
      </w:r>
    </w:p>
    <w:p w14:paraId="6AB11489"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266DBAD1" w14:textId="77777777" w:rsidR="00133D70" w:rsidRPr="003F13B1" w:rsidRDefault="00133D70" w:rsidP="00133D70">
      <w:pPr>
        <w:pStyle w:val="Heading3"/>
        <w:rPr>
          <w:rFonts w:ascii="Times New Roman" w:hAnsi="Times New Roman" w:cs="Times New Roman"/>
          <w:color w:val="auto"/>
          <w:sz w:val="32"/>
        </w:rPr>
      </w:pPr>
      <w:bookmarkStart w:id="7" w:name="_Toc238481650"/>
      <w:r>
        <w:rPr>
          <w:rFonts w:ascii="Times New Roman" w:hAnsi="Times New Roman" w:cs="Times New Roman"/>
          <w:color w:val="auto"/>
          <w:sz w:val="32"/>
        </w:rPr>
        <w:t xml:space="preserve">2.2.1. Припрема </w:t>
      </w:r>
      <w:r>
        <w:rPr>
          <w:rFonts w:ascii="Times New Roman" w:hAnsi="Times New Roman" w:cs="Times New Roman"/>
          <w:color w:val="auto"/>
          <w:sz w:val="32"/>
          <w:lang w:val="sr-Cyrl-RS"/>
        </w:rPr>
        <w:t>необрађеног</w:t>
      </w:r>
      <w:r>
        <w:rPr>
          <w:rFonts w:ascii="Times New Roman" w:hAnsi="Times New Roman" w:cs="Times New Roman"/>
          <w:color w:val="auto"/>
          <w:sz w:val="32"/>
        </w:rPr>
        <w:t xml:space="preserve"> корпуса</w:t>
      </w:r>
      <w:bookmarkEnd w:id="7"/>
      <w:r>
        <w:rPr>
          <w:rFonts w:ascii="Times New Roman" w:hAnsi="Times New Roman" w:cs="Times New Roman"/>
          <w:color w:val="auto"/>
          <w:sz w:val="32"/>
        </w:rPr>
        <w:t xml:space="preserve"> </w:t>
      </w:r>
    </w:p>
    <w:p w14:paraId="5AA49EB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Сви </w:t>
      </w:r>
      <w:r>
        <w:rPr>
          <w:color w:val="0F1115"/>
          <w:szCs w:val="30"/>
          <w:lang w:val="sr-Cyrl-RS"/>
        </w:rPr>
        <w:t>преузети коментари</w:t>
      </w:r>
      <w:r>
        <w:rPr>
          <w:color w:val="0F1115"/>
          <w:szCs w:val="30"/>
        </w:rPr>
        <w:t xml:space="preserve"> чувају се у UTF-8 формату. Празни коментари (који садрже само белине) одбацују се одмах.</w:t>
      </w:r>
    </w:p>
    <w:p w14:paraId="786ACF6A"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Емотикони и сродни графички симболи уклањају се регуларним изразом, након чега се узастопне белине сабијају у један размак. Овај корак је спроведен из два разлога. Прво, емотикони могу унети семантичку двосмисленост</w:t>
      </w:r>
      <w:r>
        <w:rPr>
          <w:color w:val="0F1115"/>
          <w:szCs w:val="30"/>
          <w:lang w:val="sr-Cyrl-RS"/>
        </w:rPr>
        <w:t>,</w:t>
      </w:r>
      <w:r>
        <w:rPr>
          <w:color w:val="0F1115"/>
          <w:szCs w:val="30"/>
        </w:rPr>
        <w:t xml:space="preserve"> исти симбол (нпр. палчеви горе) може пратити и коментаре подршке протестима и оне са саркастичном намером. Њихово задржавање уносило би </w:t>
      </w:r>
      <w:r>
        <w:rPr>
          <w:color w:val="0F1115"/>
          <w:szCs w:val="30"/>
          <w:lang w:val="sr-Cyrl-RS"/>
        </w:rPr>
        <w:t>шум</w:t>
      </w:r>
      <w:r>
        <w:rPr>
          <w:color w:val="0F1115"/>
          <w:szCs w:val="30"/>
        </w:rPr>
        <w:t xml:space="preserve"> у податке и довело до погрешног повезивања са класама. Друго, циљ је да у анотацију не уђу примери без језичког садржаја, јер се став не може поуздано одредити из самог емотикона. Коментари који након овог корака немају преостали текст (само емотикони, само симболи) одбацују се.</w:t>
      </w:r>
    </w:p>
    <w:p w14:paraId="34A40108" w14:textId="77777777"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r>
        <w:rPr>
          <w:rStyle w:val="skip-quote-patch"/>
          <w:color w:val="0F1115"/>
          <w:szCs w:val="30"/>
        </w:rPr>
        <w:t xml:space="preserve">Правопис, ћирилица/латиница и садржај коментара нису </w:t>
      </w:r>
      <w:r>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12C85C90"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8" w:name="_Toc238481651"/>
      <w:r>
        <w:rPr>
          <w:rFonts w:ascii="Times New Roman" w:hAnsi="Times New Roman" w:cs="Times New Roman"/>
          <w:color w:val="0F1115"/>
          <w:sz w:val="32"/>
          <w:szCs w:val="37"/>
        </w:rPr>
        <w:t>2.2.2. Анотациони скуп</w:t>
      </w:r>
      <w:bookmarkEnd w:id="8"/>
      <w:r>
        <w:rPr>
          <w:rFonts w:ascii="Times New Roman" w:hAnsi="Times New Roman" w:cs="Times New Roman"/>
          <w:color w:val="0F1115"/>
          <w:sz w:val="32"/>
          <w:szCs w:val="37"/>
        </w:rPr>
        <w:t xml:space="preserve"> </w:t>
      </w:r>
    </w:p>
    <w:p w14:paraId="2B93ACD2" w14:textId="77777777" w:rsidR="009127D7" w:rsidRPr="009127D7" w:rsidRDefault="009127D7" w:rsidP="00B26F8D">
      <w:pPr>
        <w:pStyle w:val="ds-markdown-paragraph"/>
        <w:spacing w:before="299" w:after="299"/>
        <w:ind w:firstLine="720"/>
        <w:jc w:val="both"/>
        <w:rPr>
          <w:color w:val="0F1115"/>
          <w:szCs w:val="30"/>
        </w:rPr>
      </w:pPr>
      <w:r>
        <w:rPr>
          <w:color w:val="0F1115"/>
          <w:szCs w:val="30"/>
        </w:rPr>
        <w:t>За потребе анотације, развијен је </w:t>
      </w:r>
      <w:r>
        <w:rPr>
          <w:b/>
          <w:bCs/>
          <w:color w:val="0F1115"/>
          <w:szCs w:val="30"/>
        </w:rPr>
        <w:t>једноставан HTML интерфејс</w:t>
      </w:r>
      <w:r>
        <w:rPr>
          <w:color w:val="0F1115"/>
          <w:szCs w:val="30"/>
        </w:rPr>
        <w:t> који приказује коментаре један по један и омогућава избор класе кликом на дугме. Интерфејс омогућава и исправку очигледних типографских грешака у тексту, аутоматски чува напредак у локалној меморији прегледача како би се анотација могла наставити у више наврата, те омогућава извоз анотираних података.</w:t>
      </w:r>
      <w:r>
        <w:rPr>
          <w:color w:val="0F1115"/>
          <w:szCs w:val="30"/>
          <w:lang w:val="sr-Cyrl-RS"/>
        </w:rPr>
        <w:t xml:space="preserve"> </w:t>
      </w:r>
      <w:r>
        <w:rPr>
          <w:color w:val="0F1115"/>
          <w:szCs w:val="30"/>
        </w:rPr>
        <w:t>Овакав приступ убрзао је процес анотације, смањио могућност грешака и омогућио систематски рад без потребе за инсталацијом додатних алата.</w:t>
      </w:r>
    </w:p>
    <w:p w14:paraId="5B59CA15" w14:textId="77777777" w:rsidR="009127D7" w:rsidRPr="00B26F8D" w:rsidRDefault="009127D7" w:rsidP="00B26F8D">
      <w:pPr>
        <w:pStyle w:val="ds-markdown-paragraph"/>
        <w:spacing w:before="299" w:after="299"/>
        <w:ind w:firstLine="720"/>
        <w:jc w:val="both"/>
        <w:rPr>
          <w:color w:val="0F1115"/>
          <w:szCs w:val="30"/>
          <w:lang w:val="sr-Cyrl-RS"/>
        </w:rPr>
      </w:pPr>
      <w:r>
        <w:rPr>
          <w:color w:val="0F1115"/>
          <w:szCs w:val="30"/>
          <w:lang w:val="en-GB"/>
        </w:rPr>
        <w:t xml:space="preserve">Из очишћеног корпуса, коришћењем </w:t>
      </w:r>
      <w:r>
        <w:rPr>
          <w:color w:val="0F1115"/>
          <w:szCs w:val="30"/>
          <w:lang w:val="sr-Cyrl-RS"/>
        </w:rPr>
        <w:t xml:space="preserve">овог </w:t>
      </w:r>
      <w:r>
        <w:rPr>
          <w:color w:val="0F1115"/>
          <w:szCs w:val="30"/>
          <w:lang w:val="en-GB"/>
        </w:rPr>
        <w:t xml:space="preserve">интерфејса, издвојен је подскуп података за обележавање који је био смислен и одговарао теми проучавања. Одбацивани су коментари који превише дивергирају од теме објаве и немају политичку конотацију, као што су препирке и вређања током коментарисања. </w:t>
      </w:r>
      <w:r>
        <w:rPr>
          <w:color w:val="0F1115"/>
          <w:szCs w:val="30"/>
        </w:rPr>
        <w:t xml:space="preserve">Приликом уписа ознаке, текст се не </w:t>
        <w:lastRenderedPageBreak/>
        <w:t>нормализује додатно</w:t>
      </w:r>
      <w:r>
        <w:rPr>
          <w:color w:val="0F1115"/>
          <w:szCs w:val="30"/>
          <w:lang w:val="sr-Cyrl-RS"/>
        </w:rPr>
        <w:t xml:space="preserve">, већ </w:t>
      </w:r>
      <w:r>
        <w:rPr>
          <w:color w:val="0F1115"/>
          <w:szCs w:val="30"/>
        </w:rPr>
        <w:t>остаје оригинални коментар (уз евентуално исправљене очигледне грешке), заједно са URL-ом и анотираном класом.</w:t>
      </w:r>
    </w:p>
    <w:p w14:paraId="1EAA60A5"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9" w:name="_Toc238481652"/>
      <w:r>
        <w:rPr>
          <w:rFonts w:ascii="Times New Roman" w:hAnsi="Times New Roman" w:cs="Times New Roman"/>
          <w:color w:val="0F1115"/>
          <w:sz w:val="32"/>
          <w:szCs w:val="37"/>
        </w:rPr>
        <w:t xml:space="preserve">2.2.3. Претпроцесирање за </w:t>
      </w:r>
      <w:r>
        <w:rPr>
          <w:rFonts w:ascii="Times New Roman" w:hAnsi="Times New Roman" w:cs="Times New Roman"/>
          <w:i/>
          <w:color w:val="0F1115"/>
          <w:sz w:val="32"/>
          <w:szCs w:val="37"/>
        </w:rPr>
        <w:t>baseline</w:t>
      </w:r>
      <w:r>
        <w:rPr>
          <w:rFonts w:ascii="Times New Roman" w:hAnsi="Times New Roman" w:cs="Times New Roman"/>
          <w:color w:val="0F1115"/>
          <w:sz w:val="32"/>
          <w:szCs w:val="37"/>
        </w:rPr>
        <w:t xml:space="preserve"> моделе</w:t>
      </w:r>
      <w:bookmarkEnd w:id="9"/>
      <w:r>
        <w:rPr>
          <w:rFonts w:ascii="Times New Roman" w:hAnsi="Times New Roman" w:cs="Times New Roman"/>
          <w:color w:val="0F1115"/>
          <w:sz w:val="32"/>
          <w:szCs w:val="37"/>
        </w:rPr>
        <w:t xml:space="preserve"> </w:t>
      </w:r>
    </w:p>
    <w:p w14:paraId="094A6BB1"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За логистичку регресију, линеарни SVM и наивни Бајесов класификатор текст се претвара у вектор одлика. Ово није део чишћења корпуса за анотацију, већ експериментални фактори репрезентације, који су равноправно испитани:</w:t>
      </w:r>
    </w:p>
    <w:p w14:paraId="07121F4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токенизација регуларним изразом (</w:t>
      </w:r>
      <w:r>
        <w:rPr>
          <w:i/>
          <w:iCs/>
          <w:color w:val="0F1115"/>
          <w:szCs w:val="30"/>
        </w:rPr>
        <w:t>Unicode</w:t>
      </w:r>
      <w:r>
        <w:rPr>
          <w:color w:val="0F1115"/>
          <w:szCs w:val="30"/>
        </w:rPr>
        <w:t xml:space="preserve"> речи);</w:t>
      </w:r>
    </w:p>
    <w:p w14:paraId="5D4770B6"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lowercasing (укључен / искључен);</w:t>
      </w:r>
    </w:p>
    <w:p w14:paraId="18BBE89C"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 xml:space="preserve">стемовање </w:t>
      </w:r>
      <w:r>
        <w:rPr>
          <w:color w:val="0F1115"/>
          <w:szCs w:val="30"/>
          <w:lang w:val="sr-Cyrl-RS"/>
        </w:rPr>
        <w:t>-</w:t>
      </w:r>
      <w:r>
        <w:rPr>
          <w:color w:val="0F1115"/>
          <w:szCs w:val="30"/>
        </w:rPr>
        <w:t xml:space="preserve"> једноставно скидање честих српских наставака;</w:t>
      </w:r>
    </w:p>
    <w:p w14:paraId="7BD7712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 xml:space="preserve">лематизација </w:t>
      </w:r>
      <w:r>
        <w:rPr>
          <w:color w:val="0F1115"/>
          <w:szCs w:val="30"/>
          <w:lang w:val="sr-Cyrl-RS"/>
        </w:rPr>
        <w:t>-</w:t>
      </w:r>
      <w:r>
        <w:rPr>
          <w:color w:val="0F1115"/>
          <w:szCs w:val="30"/>
        </w:rPr>
        <w:t xml:space="preserve"> пакет </w:t>
      </w:r>
      <w:r>
        <w:rPr>
          <w:rStyle w:val="HTMLCode"/>
          <w:rFonts w:ascii="Times New Roman" w:hAnsi="Times New Roman" w:cs="Times New Roman"/>
          <w:b/>
          <w:i/>
          <w:color w:val="0F1115"/>
          <w:sz w:val="22"/>
          <w:shd w:val="clear" w:color="auto" w:fill="EBEEF2"/>
        </w:rPr>
        <w:t>simplemma</w:t>
      </w:r>
      <w:r>
        <w:rPr>
          <w:color w:val="0F1115"/>
          <w:szCs w:val="30"/>
        </w:rPr>
        <w:t>, језик </w:t>
      </w:r>
      <w:r>
        <w:rPr>
          <w:rStyle w:val="HTMLCode"/>
          <w:rFonts w:ascii="Times New Roman" w:hAnsi="Times New Roman" w:cs="Times New Roman"/>
          <w:b/>
          <w:i/>
          <w:color w:val="0F1115"/>
          <w:shd w:val="clear" w:color="auto" w:fill="EBEEF2"/>
        </w:rPr>
        <w:t>sr</w:t>
      </w:r>
      <w:r>
        <w:rPr>
          <w:color w:val="0F1115"/>
          <w:szCs w:val="30"/>
        </w:rPr>
        <w:t>; ако лема није доступна, остаје токен малим словима;</w:t>
      </w:r>
    </w:p>
    <w:p w14:paraId="131BCB45"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пондерисање: TF, IDF и TF-IDF (n-грами 1–2, </w:t>
      </w:r>
      <w:r>
        <w:rPr>
          <w:rStyle w:val="HTMLCode"/>
          <w:rFonts w:ascii="Times New Roman" w:hAnsi="Times New Roman" w:cs="Times New Roman"/>
          <w:color w:val="0F1115"/>
          <w:shd w:val="clear" w:color="auto" w:fill="EBEEF2"/>
        </w:rPr>
        <w:t>min_df=2</w:t>
      </w:r>
      <w:r>
        <w:rPr>
          <w:color w:val="0F1115"/>
          <w:sz w:val="32"/>
          <w:szCs w:val="30"/>
        </w:rPr>
        <w:t>, </w:t>
      </w:r>
      <w:r>
        <w:rPr>
          <w:rStyle w:val="HTMLCode"/>
          <w:rFonts w:ascii="Times New Roman" w:hAnsi="Times New Roman" w:cs="Times New Roman"/>
          <w:color w:val="0F1115"/>
          <w:shd w:val="clear" w:color="auto" w:fill="EBEEF2"/>
        </w:rPr>
        <w:t>max_df=0.95</w:t>
      </w:r>
      <w:r>
        <w:rPr>
          <w:color w:val="0F1115"/>
          <w:szCs w:val="30"/>
        </w:rPr>
        <w:t xml:space="preserve">). </w:t>
      </w:r>
    </w:p>
    <w:p w14:paraId="2C51C63F"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0" w:name="_Toc238481653"/>
      <w:r>
        <w:rPr>
          <w:rFonts w:ascii="Times New Roman" w:hAnsi="Times New Roman" w:cs="Times New Roman"/>
          <w:color w:val="0F1115"/>
          <w:sz w:val="32"/>
          <w:szCs w:val="37"/>
        </w:rPr>
        <w:t>2.2.4. Енкодерски модели</w:t>
      </w:r>
      <w:bookmarkEnd w:id="10"/>
      <w:r>
        <w:rPr>
          <w:rFonts w:ascii="Times New Roman" w:hAnsi="Times New Roman" w:cs="Times New Roman"/>
          <w:color w:val="0F1115"/>
          <w:sz w:val="32"/>
          <w:szCs w:val="37"/>
        </w:rPr>
        <w:t xml:space="preserve"> </w:t>
      </w:r>
    </w:p>
    <w:p w14:paraId="582F30DB"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BERTић и mBERT користе сопствени подречни токенизатор. Додатно ручно чишћење (стемовање/лематизација) се на њих не примењује, јер би нарушило репрезентацију коју модел већ учи из </w:t>
      </w:r>
      <w:r>
        <w:rPr>
          <w:color w:val="0F1115"/>
          <w:szCs w:val="30"/>
          <w:lang w:val="sr-Cyrl-RS"/>
        </w:rPr>
        <w:t xml:space="preserve">необрађеног </w:t>
      </w:r>
      <w:r>
        <w:rPr>
          <w:color w:val="0F1115"/>
          <w:szCs w:val="30"/>
        </w:rPr>
        <w:t>текста.</w:t>
      </w:r>
    </w:p>
    <w:p w14:paraId="257236D3"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29ADFA65" w14:textId="77777777" w:rsidR="00086E10" w:rsidRPr="003F13B1" w:rsidRDefault="00086E10" w:rsidP="00133D70">
      <w:pPr>
        <w:pStyle w:val="Heading2"/>
        <w:rPr>
          <w:szCs w:val="30"/>
        </w:rPr>
      </w:pPr>
      <w:bookmarkStart w:id="11" w:name="_Toc238481654"/>
      <w:r>
        <w:t>2.3. Анотација коментара</w:t>
      </w:r>
      <w:bookmarkEnd w:id="11"/>
    </w:p>
    <w:p w14:paraId="126BC1F2"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Pr>
          <w:color w:val="0F1115"/>
          <w:szCs w:val="30"/>
        </w:rPr>
        <w:t>Пошто су коментари сакупљени без информације о политичком ставу, било је неопходно спровести ручну анотацију. Процес је подразумевао класификовање сваког коментара у једну од три категорије:</w:t>
      </w:r>
    </w:p>
    <w:p w14:paraId="4AFC1ECE"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PROTIV-VLASTI</w:t>
      </w:r>
      <w:r>
        <w:rPr>
          <w:color w:val="0F1115"/>
          <w:szCs w:val="30"/>
        </w:rPr>
        <w:t> – коментари који</w:t>
      </w:r>
      <w:r>
        <w:rPr>
          <w:color w:val="0F1115"/>
          <w:szCs w:val="30"/>
          <w:lang w:val="sr-Cyrl-RS"/>
        </w:rPr>
        <w:t xml:space="preserve"> директно критикују власт и њене представнике,</w:t>
      </w:r>
      <w:r>
        <w:rPr>
          <w:color w:val="0F1115"/>
          <w:szCs w:val="30"/>
        </w:rPr>
        <w:t xml:space="preserve"> подржавају студентске протесте и критикују </w:t>
      </w:r>
      <w:r>
        <w:rPr>
          <w:color w:val="0F1115"/>
          <w:szCs w:val="30"/>
          <w:lang w:val="sr-Cyrl-RS"/>
        </w:rPr>
        <w:t xml:space="preserve">рад </w:t>
      </w:r>
      <w:r>
        <w:rPr>
          <w:color w:val="0F1115"/>
          <w:szCs w:val="30"/>
        </w:rPr>
        <w:t>институциј</w:t>
      </w:r>
      <w:r>
        <w:rPr>
          <w:color w:val="0F1115"/>
          <w:szCs w:val="30"/>
          <w:lang w:val="sr-Cyrl-RS"/>
        </w:rPr>
        <w:t>а</w:t>
      </w:r>
      <w:r>
        <w:rPr>
          <w:color w:val="0F1115"/>
          <w:szCs w:val="30"/>
        </w:rPr>
        <w:t xml:space="preserve">. </w:t>
      </w:r>
    </w:p>
    <w:p w14:paraId="4536A006"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ZA-VLAST</w:t>
      </w:r>
      <w:r>
        <w:rPr>
          <w:color w:val="0F1115"/>
          <w:szCs w:val="30"/>
        </w:rPr>
        <w:t> – коментари који подржавају тренутну власт и доводе у питање легитимитет</w:t>
      </w:r>
      <w:r>
        <w:rPr>
          <w:color w:val="0F1115"/>
          <w:szCs w:val="30"/>
          <w:lang w:val="sr-Cyrl-RS"/>
        </w:rPr>
        <w:t xml:space="preserve"> и искреност намере учесника</w:t>
      </w:r>
      <w:r>
        <w:rPr>
          <w:color w:val="0F1115"/>
          <w:szCs w:val="30"/>
        </w:rPr>
        <w:t xml:space="preserve"> протеста. </w:t>
      </w:r>
    </w:p>
    <w:p w14:paraId="5BA5E231" w14:textId="77777777"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NEUTRAL</w:t>
      </w:r>
      <w:r>
        <w:rPr>
          <w:color w:val="0F1115"/>
          <w:szCs w:val="30"/>
        </w:rPr>
        <w:t> – коментари без израженог става</w:t>
      </w:r>
      <w:r>
        <w:rPr>
          <w:color w:val="0F1115"/>
          <w:szCs w:val="30"/>
          <w:lang w:val="sr-Cyrl-RS"/>
        </w:rPr>
        <w:t xml:space="preserve"> или у сукобу и са влашћу и са опозицијом/студентима учесницима протеста</w:t>
      </w:r>
      <w:r>
        <w:rPr>
          <w:color w:val="0F1115"/>
          <w:szCs w:val="30"/>
        </w:rPr>
        <w:t xml:space="preserve">, </w:t>
      </w:r>
      <w:r>
        <w:rPr>
          <w:color w:val="0F1115"/>
          <w:szCs w:val="30"/>
          <w:lang w:val="sr-Cyrl-RS"/>
        </w:rPr>
        <w:t xml:space="preserve">они </w:t>
      </w:r>
      <w:r>
        <w:rPr>
          <w:color w:val="0F1115"/>
          <w:szCs w:val="30"/>
        </w:rPr>
        <w:t>који преносе информације или постављају питања.</w:t>
      </w:r>
    </w:p>
    <w:p w14:paraId="05E34DBE"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r>
        <w:rPr>
          <w:color w:val="0F1115"/>
          <w:szCs w:val="30"/>
        </w:rPr>
        <w:lastRenderedPageBreak/>
        <w:t xml:space="preserve">Анотација је спроведена у неколико рунди. 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 </w:t>
      </w:r>
    </w:p>
    <w:p w14:paraId="7C2A20A0"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77329993" w14:textId="359A8927" w:rsidR="009B1587" w:rsidRDefault="009B1587" w:rsidP="009B1587">
      <w:pPr>
        <w:pStyle w:val="Heading3"/>
        <w:rPr>
          <w:rFonts w:ascii="Times New Roman" w:hAnsi="Times New Roman" w:cs="Times New Roman"/>
          <w:color w:val="auto"/>
          <w:sz w:val="32"/>
        </w:rPr>
      </w:pPr>
      <w:bookmarkStart w:id="12" w:name="_2.3.1._Калибрација_и"/>
      <w:bookmarkEnd w:id="12"/>
      <w:r>
        <w:rPr>
          <w:rFonts w:ascii="Times New Roman" w:hAnsi="Times New Roman" w:cs="Times New Roman"/>
          <w:color w:val="auto"/>
          <w:sz w:val="32"/>
        </w:rPr>
        <w:t>2.3.1. Калибрација и мере слагања</w:t>
      </w:r>
    </w:p>
    <w:p w14:paraId="6B3A9B8E"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Пре наставка самосталне анотације, спроведена је калибрациона рунда ради провере усаглашености критеријума међу анотаторима. Из очишћеног корпуса издвојен је случајни узорак од </w:t>
      </w:r>
      <w:r>
        <w:rPr>
          <w:b/>
          <w:bCs/>
          <w:color w:val="0F1115"/>
          <w:szCs w:val="30"/>
        </w:rPr>
        <w:t>250 коментара</w:t>
      </w:r>
      <w:r>
        <w:rPr>
          <w:color w:val="0F1115"/>
          <w:szCs w:val="30"/>
        </w:rPr>
        <w:t xml:space="preserve"> (~8,7% анотираног скупа), који су сва четири анотатора (Наталија, Никола, Марија, Ана) независно означили користећи исти анотациони алат и критеријуме описане у претходном одељку. Након независне анотације, ознаке свих анотатора су упоређене; за сваки коментар на коме је постојало неслагање тим се састао и договорио заједничку, коначну ознаку (</w:t>
      </w:r>
      <w:r>
        <w:rPr>
          <w:i/>
          <w:iCs/>
          <w:color w:val="0F1115"/>
          <w:szCs w:val="30"/>
        </w:rPr>
        <w:t>gold</w:t>
      </w:r>
      <w:r>
        <w:rPr>
          <w:color w:val="0F1115"/>
          <w:szCs w:val="30"/>
        </w:rPr>
        <w:t xml:space="preserve"> стандард), уз евентуалну допуну упутстава за анотацију.</w:t>
      </w:r>
    </w:p>
    <w:p w14:paraId="426E79DE"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За процену међуанотаторске сагласности коришћене су три допуњујуће мере:</w:t>
      </w:r>
    </w:p>
    <w:p w14:paraId="2346070D"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 xml:space="preserve">проценат слагања </w:t>
      </w:r>
      <w:r>
        <w:rPr>
          <w:color w:val="0F1115"/>
          <w:szCs w:val="30"/>
        </w:rPr>
        <w:t>(</w:t>
      </w:r>
      <w:r>
        <w:rPr>
          <w:i/>
          <w:iCs/>
          <w:color w:val="0F1115"/>
          <w:szCs w:val="30"/>
        </w:rPr>
        <w:t>observed agreement</w:t>
      </w:r>
      <w:r>
        <w:rPr>
          <w:color w:val="0F1115"/>
          <w:szCs w:val="30"/>
        </w:rPr>
        <w:t>, p</w:t>
      </w:r>
      <w:r>
        <w:rPr>
          <w:color w:val="0F1115"/>
          <w:szCs w:val="30"/>
          <w:vertAlign w:val="subscript"/>
        </w:rPr>
        <w:t>o</w:t>
      </w:r>
      <w:r>
        <w:rPr>
          <w:color w:val="0F1115"/>
          <w:szCs w:val="30"/>
        </w:rPr>
        <w:t>) — удео коментара на којима се два анотатора слажу, рачунат за сваки пар анотатора посебно;</w:t>
      </w:r>
    </w:p>
    <w:p w14:paraId="5089498D"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 xml:space="preserve">Cohen’ova κ </w:t>
      </w:r>
      <w:r>
        <w:rPr>
          <w:color w:val="0F1115"/>
          <w:szCs w:val="30"/>
        </w:rPr>
        <w:t>— пондерисана мера слагања пара анотатора која коригује за слагање које би настало случајно: κ = (p</w:t>
      </w:r>
      <w:r>
        <w:rPr>
          <w:color w:val="0F1115"/>
          <w:szCs w:val="30"/>
          <w:vertAlign w:val="subscript"/>
        </w:rPr>
        <w:t>o</w:t>
      </w:r>
      <w:r>
        <w:rPr>
          <w:color w:val="0F1115"/>
          <w:szCs w:val="30"/>
        </w:rPr>
        <w:t xml:space="preserve"> − p</w:t>
      </w:r>
      <w:r>
        <w:rPr>
          <w:color w:val="0F1115"/>
          <w:szCs w:val="30"/>
          <w:vertAlign w:val="subscript"/>
        </w:rPr>
        <w:t>e</w:t>
      </w:r>
      <w:r>
        <w:rPr>
          <w:color w:val="0F1115"/>
          <w:szCs w:val="30"/>
        </w:rPr>
        <w:t>) / (1 − p</w:t>
      </w:r>
      <w:r>
        <w:rPr>
          <w:color w:val="0F1115"/>
          <w:szCs w:val="30"/>
          <w:vertAlign w:val="subscript"/>
        </w:rPr>
        <w:t>e</w:t>
      </w:r>
      <w:r>
        <w:rPr>
          <w:color w:val="0F1115"/>
          <w:szCs w:val="30"/>
        </w:rPr>
        <w:t>), где је p</w:t>
      </w:r>
      <w:r>
        <w:rPr>
          <w:color w:val="0F1115"/>
          <w:szCs w:val="30"/>
          <w:vertAlign w:val="subscript"/>
        </w:rPr>
        <w:t>e</w:t>
      </w:r>
      <w:r>
        <w:rPr>
          <w:color w:val="0F1115"/>
          <w:szCs w:val="30"/>
        </w:rPr>
        <w:t xml:space="preserve"> очекивано случајно слагање на основу маргиналних расподела класа код оба анотатора;</w:t>
      </w:r>
    </w:p>
    <w:p w14:paraId="3DD7792B"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 xml:space="preserve">Krippendorff’ов α </w:t>
      </w:r>
      <w:r>
        <w:rPr>
          <w:color w:val="0F1115"/>
          <w:szCs w:val="30"/>
        </w:rPr>
        <w:t>— генерализација која истовремено обухвата сва четири анотатора (не само парове) и за номиналне класе се рачуна као α = 1 − (D</w:t>
      </w:r>
      <w:r>
        <w:rPr>
          <w:color w:val="0F1115"/>
          <w:szCs w:val="30"/>
          <w:vertAlign w:val="subscript"/>
        </w:rPr>
        <w:t>o</w:t>
      </w:r>
      <w:r>
        <w:rPr>
          <w:color w:val="0F1115"/>
          <w:szCs w:val="30"/>
        </w:rPr>
        <w:t xml:space="preserve"> / D</w:t>
      </w:r>
      <w:r>
        <w:rPr>
          <w:color w:val="0F1115"/>
          <w:szCs w:val="30"/>
          <w:vertAlign w:val="subscript"/>
        </w:rPr>
        <w:t>e</w:t>
      </w:r>
      <w:r>
        <w:rPr>
          <w:color w:val="0F1115"/>
          <w:szCs w:val="30"/>
        </w:rPr>
        <w:t>), где D</w:t>
      </w:r>
      <w:r>
        <w:rPr>
          <w:color w:val="0F1115"/>
          <w:szCs w:val="30"/>
          <w:vertAlign w:val="subscript"/>
        </w:rPr>
        <w:t>o</w:t>
      </w:r>
      <w:r>
        <w:rPr>
          <w:color w:val="0F1115"/>
          <w:szCs w:val="30"/>
        </w:rPr>
        <w:t xml:space="preserve"> представља опажено, а D</w:t>
      </w:r>
      <w:r>
        <w:rPr>
          <w:color w:val="0F1115"/>
          <w:szCs w:val="30"/>
          <w:vertAlign w:val="subscript"/>
        </w:rPr>
        <w:t>e</w:t>
      </w:r>
      <w:r>
        <w:rPr>
          <w:color w:val="0F1115"/>
          <w:szCs w:val="30"/>
        </w:rPr>
        <w:t xml:space="preserve"> очекивано неслагање по свим јединицама и анотаторима.</w:t>
      </w:r>
    </w:p>
    <w:p w14:paraId="0E504363"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Cohen’ova κ рачуната је за сваки пар анотатора (</w:t>
      </w:r>
      <w:r>
        <w:rPr>
          <w:i/>
          <w:iCs/>
          <w:color w:val="0F1115"/>
          <w:szCs w:val="30"/>
        </w:rPr>
        <w:t>scikit-learn</w:t>
      </w:r>
      <w:r>
        <w:rPr>
          <w:color w:val="0F1115"/>
          <w:szCs w:val="30"/>
        </w:rPr>
        <w:t xml:space="preserve">), док је Krippendorff’ов α рачунат преко свих 250×4 ознака истовремено (Python пакет </w:t>
      </w:r>
      <w:r>
        <w:rPr>
          <w:i/>
          <w:iCs/>
          <w:color w:val="0F1115"/>
          <w:szCs w:val="30"/>
        </w:rPr>
        <w:t>krippendorff</w:t>
      </w:r>
      <w:r>
        <w:rPr>
          <w:color w:val="0F1115"/>
          <w:szCs w:val="30"/>
        </w:rPr>
        <w:t>), у оба случаја за номиналне класе NEUTRAL, ZA-VLAST и PROTIV-VLASTI.</w:t>
      </w:r>
    </w:p>
    <w:p w14:paraId="3835DB7F" w14:textId="77777777" w:rsidR="009B1587" w:rsidRDefault="009B1587" w:rsidP="009B1587">
      <w:pPr>
        <w:jc w:val="center"/>
        <w:rPr>
          <w:lang w:val="sr-Cyrl-RS"/>
        </w:rPr>
      </w:pPr>
      <w:r>
        <w:rPr>
          <w:lang w:val="sr-Cyrl-RS"/>
        </w:rPr>
        <w:t>Табела 2.3.1 — Парно слагање и Cohen’ова κ по пару анотатора (N=250)</w:t>
      </w:r>
    </w:p>
    <w:tbl>
      <w:tblPr>
        <w:tblStyle w:val="GridTable2-Accent4"/>
        <w:tblW w:w="0" w:type="auto"/>
        <w:jc w:val="center"/>
        <w:tblLook w:val="04A0" w:firstRow="1" w:lastRow="0" w:firstColumn="1" w:lastColumn="0" w:noHBand="0" w:noVBand="1"/>
      </w:tblPr>
      <w:tblGrid>
        <w:gridCol w:w="2137"/>
        <w:gridCol w:w="1513"/>
        <w:gridCol w:w="1408"/>
      </w:tblGrid>
      <w:tr w:rsidR="006A3BF1" w14:paraId="5AC67BBF"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5326943" w14:textId="77777777" w:rsidR="006A3BF1" w:rsidRDefault="003443A5">
            <w:pPr>
              <w:jc w:val="center"/>
            </w:pPr>
            <w:r>
              <w:t>Пар анотатора</w:t>
            </w:r>
          </w:p>
        </w:tc>
        <w:tc>
          <w:tcPr>
            <w:tcW w:w="0" w:type="auto"/>
          </w:tcPr>
          <w:p w14:paraId="79FCE5CF"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r>
              <w:t>Слагање (%)</w:t>
            </w:r>
          </w:p>
        </w:tc>
        <w:tc>
          <w:tcPr>
            <w:tcW w:w="0" w:type="auto"/>
          </w:tcPr>
          <w:p w14:paraId="7609386C"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r>
              <w:t>Cohen’ova κ</w:t>
            </w:r>
          </w:p>
        </w:tc>
      </w:tr>
      <w:tr w:rsidR="006A3BF1" w14:paraId="3C3003C6"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6399D" w14:textId="77777777" w:rsidR="006A3BF1" w:rsidRDefault="003443A5">
            <w:pPr>
              <w:jc w:val="center"/>
            </w:pPr>
            <w:r>
              <w:t>Ана – Марија</w:t>
            </w:r>
          </w:p>
        </w:tc>
        <w:tc>
          <w:tcPr>
            <w:tcW w:w="0" w:type="auto"/>
          </w:tcPr>
          <w:p w14:paraId="375CECB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86,4</w:t>
            </w:r>
          </w:p>
        </w:tc>
        <w:tc>
          <w:tcPr>
            <w:tcW w:w="0" w:type="auto"/>
          </w:tcPr>
          <w:p w14:paraId="02F2EB0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0,788</w:t>
            </w:r>
          </w:p>
        </w:tc>
      </w:tr>
      <w:tr w:rsidR="006A3BF1" w14:paraId="5E0112C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0DA9A9" w14:textId="77777777" w:rsidR="006A3BF1" w:rsidRDefault="003443A5">
            <w:pPr>
              <w:jc w:val="center"/>
            </w:pPr>
            <w:r>
              <w:t>Ана – Наталија</w:t>
            </w:r>
          </w:p>
        </w:tc>
        <w:tc>
          <w:tcPr>
            <w:tcW w:w="0" w:type="auto"/>
          </w:tcPr>
          <w:p w14:paraId="3C3283F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85,6</w:t>
            </w:r>
          </w:p>
        </w:tc>
        <w:tc>
          <w:tcPr>
            <w:tcW w:w="0" w:type="auto"/>
          </w:tcPr>
          <w:p w14:paraId="78FEB20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0,779</w:t>
            </w:r>
          </w:p>
        </w:tc>
      </w:tr>
      <w:tr w:rsidR="006A3BF1" w14:paraId="16A5C2F7"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397052" w14:textId="77777777" w:rsidR="006A3BF1" w:rsidRDefault="003443A5">
            <w:pPr>
              <w:jc w:val="center"/>
            </w:pPr>
            <w:r>
              <w:t>Ана – Никола</w:t>
            </w:r>
          </w:p>
        </w:tc>
        <w:tc>
          <w:tcPr>
            <w:tcW w:w="0" w:type="auto"/>
          </w:tcPr>
          <w:p w14:paraId="3896DD7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81,2</w:t>
            </w:r>
          </w:p>
        </w:tc>
        <w:tc>
          <w:tcPr>
            <w:tcW w:w="0" w:type="auto"/>
          </w:tcPr>
          <w:p w14:paraId="0EBA2839"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0,716</w:t>
            </w:r>
          </w:p>
        </w:tc>
      </w:tr>
      <w:tr w:rsidR="006A3BF1" w14:paraId="78C996F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035304E" w14:textId="77777777" w:rsidR="006A3BF1" w:rsidRDefault="003443A5">
            <w:pPr>
              <w:jc w:val="center"/>
            </w:pPr>
            <w:r>
              <w:t>Марија – Наталија</w:t>
            </w:r>
          </w:p>
        </w:tc>
        <w:tc>
          <w:tcPr>
            <w:tcW w:w="0" w:type="auto"/>
          </w:tcPr>
          <w:p w14:paraId="438B117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86,4</w:t>
            </w:r>
          </w:p>
        </w:tc>
        <w:tc>
          <w:tcPr>
            <w:tcW w:w="0" w:type="auto"/>
          </w:tcPr>
          <w:p w14:paraId="492A59F3"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0,786</w:t>
            </w:r>
          </w:p>
        </w:tc>
      </w:tr>
      <w:tr w:rsidR="006A3BF1" w14:paraId="0A536662"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8B08952" w14:textId="77777777" w:rsidR="006A3BF1" w:rsidRDefault="003443A5">
            <w:pPr>
              <w:jc w:val="center"/>
            </w:pPr>
            <w:r>
              <w:t>Марија – Никола</w:t>
            </w:r>
          </w:p>
        </w:tc>
        <w:tc>
          <w:tcPr>
            <w:tcW w:w="0" w:type="auto"/>
          </w:tcPr>
          <w:p w14:paraId="5790EC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6DD4732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0,700</w:t>
            </w:r>
          </w:p>
        </w:tc>
      </w:tr>
      <w:tr w:rsidR="006A3BF1" w14:paraId="174E6884"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C8B79C5" w14:textId="77777777" w:rsidR="006A3BF1" w:rsidRDefault="003443A5">
            <w:pPr>
              <w:jc w:val="center"/>
            </w:pPr>
            <w:r>
              <w:t>Наталија – Никола</w:t>
            </w:r>
          </w:p>
        </w:tc>
        <w:tc>
          <w:tcPr>
            <w:tcW w:w="0" w:type="auto"/>
          </w:tcPr>
          <w:p w14:paraId="4DCB4EE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78,8</w:t>
            </w:r>
          </w:p>
        </w:tc>
        <w:tc>
          <w:tcPr>
            <w:tcW w:w="0" w:type="auto"/>
          </w:tcPr>
          <w:p w14:paraId="0BA014E6"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0,678</w:t>
            </w:r>
          </w:p>
        </w:tc>
      </w:tr>
    </w:tbl>
    <w:p w14:paraId="360C42D5"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Просечно парно слагање износило је </w:t>
      </w:r>
      <w:r>
        <w:rPr>
          <w:b/>
          <w:bCs/>
          <w:color w:val="0F1115"/>
          <w:szCs w:val="30"/>
        </w:rPr>
        <w:t>83,1%</w:t>
      </w:r>
      <w:r>
        <w:rPr>
          <w:color w:val="0F1115"/>
          <w:szCs w:val="30"/>
        </w:rPr>
        <w:t xml:space="preserve">, уз просечну Cohen’ovu κ вредност од </w:t>
      </w:r>
      <w:r>
        <w:rPr>
          <w:b/>
          <w:bCs/>
          <w:color w:val="0F1115"/>
          <w:szCs w:val="30"/>
        </w:rPr>
        <w:t>0,741</w:t>
      </w:r>
      <w:r>
        <w:rPr>
          <w:color w:val="0F1115"/>
          <w:szCs w:val="30"/>
        </w:rPr>
        <w:t xml:space="preserve"> (Табела 2.3.1). Сва четири анотатора сложила су се око исте ознаке код </w:t>
      </w:r>
      <w:r>
        <w:rPr>
          <w:b/>
          <w:bCs/>
          <w:color w:val="0F1115"/>
          <w:szCs w:val="30"/>
        </w:rPr>
        <w:t>70,4%</w:t>
      </w:r>
      <w:r>
        <w:rPr>
          <w:color w:val="0F1115"/>
          <w:szCs w:val="30"/>
        </w:rPr>
        <w:t xml:space="preserve"> коментара, док се бар три од четири анотатора сложила код </w:t>
      </w:r>
      <w:r>
        <w:rPr>
          <w:b/>
          <w:bCs/>
          <w:color w:val="0F1115"/>
          <w:szCs w:val="30"/>
        </w:rPr>
        <w:t>90,4%</w:t>
      </w:r>
      <w:r>
        <w:rPr>
          <w:color w:val="0F1115"/>
          <w:szCs w:val="30"/>
        </w:rPr>
        <w:t xml:space="preserve"> коментара. Krippendorff’ов α за сва четири анотатора истовремено износио је </w:t>
      </w:r>
      <w:r>
        <w:rPr>
          <w:b/>
          <w:bCs/>
          <w:color w:val="0F1115"/>
          <w:szCs w:val="30"/>
        </w:rPr>
        <w:t>α = 0,740</w:t>
      </w:r>
      <w:r>
        <w:rPr>
          <w:color w:val="0F1115"/>
          <w:szCs w:val="30"/>
        </w:rPr>
        <w:t>.</w:t>
      </w:r>
    </w:p>
    <w:p w14:paraId="0F6CA5AC"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lastRenderedPageBreak/>
        <w:t xml:space="preserve">Према уобичајеним смерницама за тумачење (Landis &amp; Koch за κ; Krippendorff за α, где се α ≥ 0,667 сматра прихватљивим, а α ≥ 0,8 добрим), добијене вредности (κ̄ = 0,741; α = 0,740) указују на значајну до готово савршену сагласност међу анотаторима. Ово премашује праг од 0,6 који је тим унапред поставио као услов за наставак самосталне анотације преосталог корпуса (детаљи у пратећем документу </w:t>
      </w:r>
      <w:r>
        <w:rPr>
          <w:i/>
          <w:iCs/>
          <w:color w:val="0F1115"/>
          <w:szCs w:val="30"/>
        </w:rPr>
        <w:t>agreement_report.md</w:t>
      </w:r>
      <w:r>
        <w:rPr>
          <w:color w:val="0F1115"/>
          <w:szCs w:val="30"/>
        </w:rPr>
        <w:t>).</w:t>
      </w:r>
    </w:p>
    <w:p w14:paraId="561C651D"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Поређењем појединачних анотатора са договореним gold ознакама (Табела 2.3.2), сва четири анотатора остварила су слагање између 76,4% и 84,0%, што потврђује да ниједан појединачни анотатор систематски не одступа од консензуса тима.</w:t>
      </w:r>
    </w:p>
    <w:p w14:paraId="1A5FFB21" w14:textId="77777777" w:rsidR="009B1587" w:rsidRDefault="009B1587" w:rsidP="009B1587">
      <w:pPr>
        <w:jc w:val="center"/>
        <w:rPr>
          <w:lang w:val="sr-Cyrl-RS"/>
        </w:rPr>
      </w:pPr>
      <w:r>
        <w:rPr>
          <w:lang w:val="sr-Cyrl-RS"/>
        </w:rPr>
        <w:t>Табела 2.3.2 — Слагање сваког анотатора са договореним gold ознакама</w:t>
      </w:r>
    </w:p>
    <w:tbl>
      <w:tblPr>
        <w:tblStyle w:val="GridTable2-Accent4"/>
        <w:tblW w:w="0" w:type="auto"/>
        <w:jc w:val="center"/>
        <w:tblLook w:val="04A0" w:firstRow="1" w:lastRow="0" w:firstColumn="1" w:lastColumn="0" w:noHBand="0" w:noVBand="1"/>
      </w:tblPr>
      <w:tblGrid>
        <w:gridCol w:w="1171"/>
        <w:gridCol w:w="2234"/>
        <w:gridCol w:w="1408"/>
      </w:tblGrid>
      <w:tr w:rsidR="006A3BF1" w14:paraId="0E48FFCA"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31E28C" w14:textId="77777777" w:rsidR="006A3BF1" w:rsidRDefault="003443A5">
            <w:pPr>
              <w:jc w:val="center"/>
            </w:pPr>
            <w:r>
              <w:t>Анотатор</w:t>
            </w:r>
          </w:p>
        </w:tc>
        <w:tc>
          <w:tcPr>
            <w:tcW w:w="0" w:type="auto"/>
          </w:tcPr>
          <w:p w14:paraId="67CD1296"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r>
              <w:t>Слагање са gold (%)</w:t>
            </w:r>
          </w:p>
        </w:tc>
        <w:tc>
          <w:tcPr>
            <w:tcW w:w="0" w:type="auto"/>
          </w:tcPr>
          <w:p w14:paraId="414EFCE7"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r>
              <w:t>Cohen’ova κ</w:t>
            </w:r>
          </w:p>
        </w:tc>
      </w:tr>
      <w:tr w:rsidR="006A3BF1" w14:paraId="5466D786"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89A201" w14:textId="77777777" w:rsidR="006A3BF1" w:rsidRDefault="003443A5">
            <w:pPr>
              <w:jc w:val="center"/>
            </w:pPr>
            <w:r>
              <w:t>Ана</w:t>
            </w:r>
          </w:p>
        </w:tc>
        <w:tc>
          <w:tcPr>
            <w:tcW w:w="0" w:type="auto"/>
          </w:tcPr>
          <w:p w14:paraId="3818CDF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84,0</w:t>
            </w:r>
          </w:p>
        </w:tc>
        <w:tc>
          <w:tcPr>
            <w:tcW w:w="0" w:type="auto"/>
          </w:tcPr>
          <w:p w14:paraId="2AA343A5"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0,752</w:t>
            </w:r>
          </w:p>
        </w:tc>
      </w:tr>
      <w:tr w:rsidR="006A3BF1" w14:paraId="46583E39"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8670D92" w14:textId="77777777" w:rsidR="006A3BF1" w:rsidRDefault="003443A5">
            <w:pPr>
              <w:jc w:val="center"/>
            </w:pPr>
            <w:r>
              <w:t>Марија</w:t>
            </w:r>
          </w:p>
        </w:tc>
        <w:tc>
          <w:tcPr>
            <w:tcW w:w="0" w:type="auto"/>
          </w:tcPr>
          <w:p w14:paraId="74803E00"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82,8</w:t>
            </w:r>
          </w:p>
        </w:tc>
        <w:tc>
          <w:tcPr>
            <w:tcW w:w="0" w:type="auto"/>
          </w:tcPr>
          <w:p w14:paraId="76D78D64"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0,724</w:t>
            </w:r>
          </w:p>
        </w:tc>
      </w:tr>
      <w:tr w:rsidR="006A3BF1" w14:paraId="450FA1BC"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257E527" w14:textId="77777777" w:rsidR="006A3BF1" w:rsidRDefault="003443A5">
            <w:pPr>
              <w:jc w:val="center"/>
            </w:pPr>
            <w:r>
              <w:t>Наталија</w:t>
            </w:r>
          </w:p>
        </w:tc>
        <w:tc>
          <w:tcPr>
            <w:tcW w:w="0" w:type="auto"/>
          </w:tcPr>
          <w:p w14:paraId="40FED7D8"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0BAB48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0,693</w:t>
            </w:r>
          </w:p>
        </w:tc>
      </w:tr>
      <w:tr w:rsidR="006A3BF1" w14:paraId="021EFC8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BC8C6E" w14:textId="77777777" w:rsidR="006A3BF1" w:rsidRDefault="003443A5">
            <w:pPr>
              <w:jc w:val="center"/>
            </w:pPr>
            <w:r>
              <w:t>Никола</w:t>
            </w:r>
          </w:p>
        </w:tc>
        <w:tc>
          <w:tcPr>
            <w:tcW w:w="0" w:type="auto"/>
          </w:tcPr>
          <w:p w14:paraId="73641759"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76,4</w:t>
            </w:r>
          </w:p>
        </w:tc>
        <w:tc>
          <w:tcPr>
            <w:tcW w:w="0" w:type="auto"/>
          </w:tcPr>
          <w:p w14:paraId="61E0A4CB"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0,639</w:t>
            </w:r>
          </w:p>
        </w:tc>
      </w:tr>
    </w:tbl>
    <w:p w14:paraId="79C9A4E5"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Анализа образаца неслагања показује да се највећи део грешака одиграва између класе NEUTRAL и два поларизована става: од укупно 253 забележена неслагања између парова анотатора, 120 се односило на разлику NEUTRAL↔PROTIV-VLASTI, а 109 на разлику NEUTRAL↔ZA-VLAST, док је директна замена PROTIV-VLASTI↔ZA-VLAST забележена свега 24 пута. Овај образац је у складу са каснијим налазима модела (поглавље 3), где је NEUTRAL класа доследно најтежа за аутоматску класификацију — граница према неутралности показала се суптилнијом и за људе и за моделе него граница између два супротстављена политичка става.</w:t>
      </w:r>
    </w:p>
    <w:p w14:paraId="47C7E2B3" w14:textId="5FC6BFB3"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Разрешени случајеви неслагања и коначно договорена правила документовани су засебно (</w:t>
      </w:r>
      <w:r>
        <w:rPr>
          <w:i/>
          <w:iCs/>
          <w:color w:val="0F1115"/>
          <w:szCs w:val="30"/>
        </w:rPr>
        <w:t>disagreements_resolved.md</w:t>
      </w:r>
      <w:r>
        <w:rPr>
          <w:color w:val="0F1115"/>
          <w:szCs w:val="30"/>
        </w:rPr>
        <w:t>).</w:t>
      </w:r>
    </w:p>
    <w:p w14:paraId="5A50C105" w14:textId="77777777" w:rsidR="00086E10" w:rsidRPr="003F13B1" w:rsidRDefault="00086E10" w:rsidP="006E18D8">
      <w:pPr>
        <w:pStyle w:val="Vremepredajeteze"/>
        <w:jc w:val="both"/>
        <w:rPr>
          <w:rFonts w:ascii="Times New Roman" w:hAnsi="Times New Roman"/>
          <w:b/>
          <w:sz w:val="32"/>
        </w:rPr>
      </w:pPr>
      <w:r>
        <w:rPr>
          <w:rFonts w:ascii="Times New Roman" w:hAnsi="Times New Roman"/>
          <w:b/>
          <w:sz w:val="32"/>
        </w:rPr>
        <w:t>2.4. Експлоративна анализа података</w:t>
      </w:r>
    </w:p>
    <w:p w14:paraId="6709CE68" w14:textId="77777777"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r>
        <w:rPr>
          <w:color w:val="0F1115"/>
          <w:szCs w:val="30"/>
        </w:rPr>
        <w:t xml:space="preserve">Након завршене анотације, финални корпус броји </w:t>
      </w:r>
      <w:r>
        <w:rPr>
          <w:b/>
          <w:i/>
          <w:color w:val="0F1115"/>
          <w:szCs w:val="30"/>
        </w:rPr>
        <w:t>2.874 коментара</w:t>
      </w:r>
      <w:r>
        <w:rPr>
          <w:color w:val="0F1115"/>
          <w:szCs w:val="30"/>
        </w:rPr>
        <w:t>. Слика 2.</w:t>
      </w:r>
      <w:r>
        <w:rPr>
          <w:color w:val="0F1115"/>
          <w:szCs w:val="30"/>
          <w:lang w:val="sr-Cyrl-RS"/>
        </w:rPr>
        <w:t xml:space="preserve">2. </w:t>
      </w:r>
      <w:r>
        <w:rPr>
          <w:color w:val="0F1115"/>
          <w:szCs w:val="30"/>
        </w:rPr>
        <w:t>приказује расподелу по класама.</w:t>
      </w:r>
    </w:p>
    <w:p w14:paraId="7E4053B4" w14:textId="77777777" w:rsidR="006E18D8" w:rsidRPr="003F13B1" w:rsidRDefault="006E18D8" w:rsidP="004F2FB9">
      <w:pPr>
        <w:spacing w:line="360" w:lineRule="auto"/>
        <w:ind w:firstLine="720"/>
        <w:jc w:val="center"/>
        <w:rPr>
          <w:sz w:val="20"/>
        </w:rPr>
      </w:pPr>
      <w:r>
        <w:rPr>
          <w:noProof/>
          <w:sz w:val="20"/>
          <w:lang w:val="en-US"/>
        </w:rPr>
        <w:lastRenderedPageBreak/>
        <w:drawing>
          <wp:inline distT="0" distB="0" distL="0" distR="0" wp14:anchorId="22CC6A20" wp14:editId="3866FC24">
            <wp:extent cx="3454400" cy="228041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481338" cy="2298197"/>
                    </a:xfrm>
                    <a:prstGeom prst="rect">
                      <a:avLst/>
                    </a:prstGeom>
                    <a:noFill/>
                    <a:ln w="9525">
                      <a:noFill/>
                      <a:miter lim="800000"/>
                      <a:headEnd/>
                      <a:tailEnd/>
                    </a:ln>
                  </pic:spPr>
                </pic:pic>
              </a:graphicData>
            </a:graphic>
          </wp:inline>
        </w:drawing>
      </w:r>
    </w:p>
    <w:p w14:paraId="04D81E20" w14:textId="77777777" w:rsidR="006E18D8" w:rsidRPr="003F13B1" w:rsidRDefault="006E18D8" w:rsidP="006E18D8">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2</w:t>
      </w:r>
      <w:r>
        <w:rPr>
          <w:rStyle w:val="ds-markdown-html"/>
          <w:color w:val="0F1115"/>
          <w:szCs w:val="30"/>
          <w:shd w:val="clear" w:color="auto" w:fill="FFFFFF"/>
        </w:rPr>
        <w:t>. Расподела класа у анотираном скупу</w:t>
      </w:r>
    </w:p>
    <w:p w14:paraId="72085D4E"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Pr>
          <w:color w:val="0F1115"/>
          <w:szCs w:val="30"/>
        </w:rPr>
        <w:t>Најзаступљенија је класа PROTIV-VLASTI са 1.168 коментара (40,6%), следи ZA-VLAST са 1.038 (36,1%), док су неутрални коментари најређи</w:t>
      </w:r>
      <w:r>
        <w:rPr>
          <w:color w:val="0F1115"/>
          <w:szCs w:val="30"/>
          <w:lang w:val="sr-Cyrl-RS"/>
        </w:rPr>
        <w:t>,</w:t>
      </w:r>
      <w:r>
        <w:rPr>
          <w:color w:val="0F1115"/>
          <w:szCs w:val="30"/>
        </w:rPr>
        <w:t xml:space="preserve"> 668 (23,2%), </w:t>
      </w:r>
      <w:r>
        <w:rPr>
          <w:color w:val="0F1115"/>
          <w:szCs w:val="30"/>
          <w:lang w:val="en-GB"/>
        </w:rPr>
        <w:t> што је приказано на Слици 2.</w:t>
      </w:r>
      <w:r>
        <w:rPr>
          <w:color w:val="0F1115"/>
          <w:szCs w:val="30"/>
          <w:lang w:val="sr-Cyrl-RS"/>
        </w:rPr>
        <w:t>3</w:t>
      </w:r>
      <w:r>
        <w:rPr>
          <w:color w:val="0F1115"/>
          <w:szCs w:val="30"/>
          <w:lang w:val="en-GB"/>
        </w:rPr>
        <w:t>. </w:t>
      </w:r>
      <w:r>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r>
        <w:rPr>
          <w:color w:val="0F1115"/>
          <w:szCs w:val="30"/>
        </w:rPr>
        <w:t xml:space="preserve">Однос највеће и најмање класе износи 1,75, што представља умерену неуравнотеженост. Због тога ће се приликом евалуације користити </w:t>
      </w:r>
      <w:r>
        <w:rPr>
          <w:i/>
          <w:color w:val="0F1115"/>
          <w:szCs w:val="30"/>
        </w:rPr>
        <w:t>макро F1 мера</w:t>
      </w:r>
      <w:r>
        <w:rPr>
          <w:color w:val="0F1115"/>
          <w:szCs w:val="30"/>
        </w:rPr>
        <w:t>, која подједнако вреднује перформансе на свим класама.</w:t>
      </w:r>
    </w:p>
    <w:p w14:paraId="45F07591"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Pr>
          <w:noProof/>
          <w:color w:val="0F1115"/>
          <w:szCs w:val="30"/>
        </w:rPr>
        <w:drawing>
          <wp:inline distT="0" distB="0" distL="0" distR="0" wp14:anchorId="608AA020" wp14:editId="3767663C">
            <wp:extent cx="3511550" cy="2572759"/>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3550295" cy="2601146"/>
                    </a:xfrm>
                    <a:prstGeom prst="rect">
                      <a:avLst/>
                    </a:prstGeom>
                    <a:noFill/>
                    <a:ln w="9525">
                      <a:noFill/>
                      <a:miter lim="800000"/>
                      <a:headEnd/>
                      <a:tailEnd/>
                    </a:ln>
                  </pic:spPr>
                </pic:pic>
              </a:graphicData>
            </a:graphic>
          </wp:inline>
        </w:drawing>
      </w:r>
    </w:p>
    <w:p w14:paraId="34DB1BCF" w14:textId="77777777"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r>
        <w:rPr>
          <w:rStyle w:val="ds-markdown-html"/>
          <w:color w:val="0F1115"/>
          <w:szCs w:val="30"/>
          <w:shd w:val="clear" w:color="auto" w:fill="FFFFFF"/>
        </w:rPr>
        <w:t>Слика 2.</w:t>
      </w:r>
      <w:r>
        <w:rPr>
          <w:rStyle w:val="ds-markdown-html"/>
          <w:color w:val="0F1115"/>
          <w:szCs w:val="30"/>
          <w:shd w:val="clear" w:color="auto" w:fill="FFFFFF"/>
          <w:lang w:val="sr-Cyrl-RS"/>
        </w:rPr>
        <w:t>3</w:t>
      </w:r>
      <w:r>
        <w:rPr>
          <w:rStyle w:val="ds-markdown-html"/>
          <w:color w:val="0F1115"/>
          <w:szCs w:val="30"/>
          <w:shd w:val="clear" w:color="auto" w:fill="FFFFFF"/>
        </w:rPr>
        <w:t>. Број анотираних коментара по класи</w:t>
      </w:r>
    </w:p>
    <w:p w14:paraId="54C6AFC3" w14:textId="77777777" w:rsidR="004773A4" w:rsidRPr="004773A4" w:rsidRDefault="004773A4" w:rsidP="004773A4">
      <w:pPr>
        <w:pStyle w:val="ds-markdown-paragraph"/>
        <w:spacing w:before="0" w:after="299"/>
        <w:ind w:firstLine="720"/>
        <w:jc w:val="both"/>
        <w:rPr>
          <w:color w:val="0F1115"/>
          <w:szCs w:val="30"/>
          <w:shd w:val="clear" w:color="auto" w:fill="FFFFFF"/>
        </w:rPr>
      </w:pPr>
      <w:r>
        <w:rPr>
          <w:color w:val="0F1115"/>
          <w:szCs w:val="30"/>
          <w:shd w:val="clear" w:color="auto" w:fill="FFFFFF"/>
        </w:rPr>
        <w:t xml:space="preserve">Један од кључних изазова при формирању скупа података за обележавање представљало је обезбеђивање довољне заступљености свих класа, посебно неутралних коментара. Наиме, прелиминарном анализом сирових коментара уочено је да су ставови према власти и протестима често изражени на поларизован начин, док су коментари без </w:t>
        <w:lastRenderedPageBreak/>
        <w:t>јасног става знатно ређи у односу на оне који експлицитно подржавају или критикују власт. Ова природна неравнотежа последица је саме природе јавног дискурса на друштвеним мрежама – корисници се чешће опредељују и изражавају своје мишљење, док су чисто информативни коментари који не заузимају став мање заступљени.</w:t>
      </w:r>
    </w:p>
    <w:p w14:paraId="6551A454" w14:textId="77777777" w:rsidR="004773A4" w:rsidRPr="004773A4" w:rsidRDefault="004773A4" w:rsidP="004773A4">
      <w:pPr>
        <w:pStyle w:val="ds-markdown-paragraph"/>
        <w:spacing w:before="0" w:after="299"/>
        <w:ind w:firstLine="720"/>
        <w:jc w:val="both"/>
        <w:rPr>
          <w:color w:val="0F1115"/>
          <w:szCs w:val="30"/>
          <w:shd w:val="clear" w:color="auto" w:fill="FFFFFF"/>
        </w:rPr>
      </w:pPr>
      <w:r>
        <w:rPr>
          <w:color w:val="0F1115"/>
          <w:szCs w:val="30"/>
          <w:shd w:val="clear" w:color="auto" w:fill="FFFFFF"/>
        </w:rPr>
        <w:t xml:space="preserve">Имајући у виду да је неутрална класа у мањини, посебну пажњу смо посветили управо њеном прикупљању. Током прегледања објава и коментара, свесно смо трагали за садржајима који би могли да припадну неутралној категорији. </w:t>
      </w:r>
    </w:p>
    <w:p w14:paraId="081A1837" w14:textId="77777777" w:rsidR="004773A4" w:rsidRPr="00FE4255" w:rsidRDefault="004773A4" w:rsidP="004773A4">
      <w:pPr>
        <w:pStyle w:val="ds-markdown-paragraph"/>
        <w:spacing w:before="0" w:after="299"/>
        <w:ind w:firstLine="720"/>
        <w:jc w:val="both"/>
        <w:rPr>
          <w:color w:val="0F1115"/>
          <w:szCs w:val="30"/>
          <w:shd w:val="clear" w:color="auto" w:fill="FFFFFF"/>
          <w:lang w:val="sr-Cyrl-RS"/>
        </w:rPr>
      </w:pPr>
      <w:r>
        <w:rPr>
          <w:color w:val="0F1115"/>
          <w:szCs w:val="30"/>
          <w:shd w:val="clear" w:color="auto" w:fill="FFFFFF"/>
        </w:rPr>
        <w:t>Поред овог циљаног прикупљања, применили смо и </w:t>
      </w:r>
      <w:r>
        <w:rPr>
          <w:b/>
          <w:bCs/>
          <w:color w:val="0F1115"/>
          <w:szCs w:val="30"/>
          <w:shd w:val="clear" w:color="auto" w:fill="FFFFFF"/>
        </w:rPr>
        <w:t>селективно узорковање</w:t>
      </w:r>
      <w:r>
        <w:rPr>
          <w:color w:val="0F1115"/>
          <w:szCs w:val="30"/>
          <w:shd w:val="clear" w:color="auto" w:fill="FFFFFF"/>
        </w:rPr>
        <w:t xml:space="preserve"> пре саме анотације. Извршена је груба категоризација већег броја коментара на основу очигледних лексичких маркера. На основу овог прелиминарног прегледа, формиран је анотациони скуп тако да садржи довољан број представника сваке класе, са посебним нагласком на обезбеђивању </w:t>
      </w:r>
      <w:r>
        <w:rPr>
          <w:color w:val="0F1115"/>
          <w:szCs w:val="30"/>
          <w:shd w:val="clear" w:color="auto" w:fill="FFFFFF"/>
          <w:lang w:val="sr-Cyrl-RS"/>
        </w:rPr>
        <w:t>скоро подједнаког броја података за сваку класу.</w:t>
      </w:r>
    </w:p>
    <w:p w14:paraId="6C1FA675" w14:textId="77777777" w:rsidR="004773A4" w:rsidRPr="00FE4255" w:rsidRDefault="004773A4" w:rsidP="00FE4255">
      <w:pPr>
        <w:pStyle w:val="ds-markdown-paragraph"/>
        <w:ind w:firstLine="720"/>
        <w:jc w:val="both"/>
        <w:rPr>
          <w:rStyle w:val="ds-markdown-html"/>
          <w:color w:val="0F1115"/>
          <w:szCs w:val="30"/>
          <w:shd w:val="clear" w:color="auto" w:fill="FFFFFF"/>
          <w:lang w:val="sr-Cyrl-RS"/>
        </w:rPr>
      </w:pPr>
      <w:r>
        <w:rPr>
          <w:color w:val="0F1115"/>
          <w:szCs w:val="30"/>
          <w:shd w:val="clear" w:color="auto" w:fill="FFFFFF"/>
        </w:rPr>
        <w:t>Упркос овим напорима, неутрални коментари и даље чине 23,2% укупног анотираног скупа, док PROTIV-VLASTI чине 40,6%, а ZA-VLAST 36,1%. Оваква расподела очекивана је с обзиром на природу друштвено-политичког дискурса – изражавање става је чешће од уздржавања. Ипак</w:t>
      </w:r>
      <w:r>
        <w:rPr>
          <w:color w:val="0F1115"/>
          <w:szCs w:val="30"/>
          <w:shd w:val="clear" w:color="auto" w:fill="FFFFFF"/>
          <w:lang w:val="sr-Cyrl-RS"/>
        </w:rPr>
        <w:t xml:space="preserve">, </w:t>
      </w:r>
      <w:r>
        <w:rPr>
          <w:color w:val="0F1115"/>
          <w:szCs w:val="30"/>
          <w:shd w:val="clear" w:color="auto" w:fill="FFFFFF"/>
        </w:rPr>
        <w:t>успели</w:t>
      </w:r>
      <w:r>
        <w:rPr>
          <w:color w:val="0F1115"/>
          <w:szCs w:val="30"/>
          <w:shd w:val="clear" w:color="auto" w:fill="FFFFFF"/>
          <w:lang w:val="sr-Cyrl-RS"/>
        </w:rPr>
        <w:t xml:space="preserve"> смо</w:t>
      </w:r>
      <w:r>
        <w:rPr>
          <w:color w:val="0F1115"/>
          <w:szCs w:val="30"/>
          <w:shd w:val="clear" w:color="auto" w:fill="FFFFFF"/>
        </w:rPr>
        <w:t xml:space="preserve"> да обезбедимо </w:t>
      </w:r>
      <w:r>
        <w:rPr>
          <w:color w:val="0F1115"/>
          <w:szCs w:val="30"/>
          <w:shd w:val="clear" w:color="auto" w:fill="FFFFFF"/>
          <w:lang w:val="sr-Cyrl-RS"/>
        </w:rPr>
        <w:t xml:space="preserve">макар </w:t>
      </w:r>
      <w:r>
        <w:rPr>
          <w:color w:val="0F1115"/>
          <w:szCs w:val="30"/>
          <w:shd w:val="clear" w:color="auto" w:fill="FFFFFF"/>
        </w:rPr>
        <w:t xml:space="preserve">довољан број неутралних примера за смислено обучавање модела. </w:t>
      </w:r>
    </w:p>
    <w:p w14:paraId="1541C45A" w14:textId="77777777" w:rsidR="00D01A4B" w:rsidRPr="003F13B1" w:rsidRDefault="00D01A4B" w:rsidP="006E18D8">
      <w:pPr>
        <w:jc w:val="center"/>
        <w:rPr>
          <w:sz w:val="20"/>
        </w:rPr>
      </w:pPr>
    </w:p>
    <w:p w14:paraId="17166F43" w14:textId="77777777" w:rsidR="00086E10" w:rsidRPr="003F13B1" w:rsidRDefault="00086E10" w:rsidP="00D01A4B">
      <w:pPr>
        <w:pStyle w:val="Vremepredajeteze"/>
        <w:jc w:val="both"/>
        <w:rPr>
          <w:rFonts w:ascii="Times New Roman" w:hAnsi="Times New Roman"/>
          <w:b/>
          <w:sz w:val="32"/>
        </w:rPr>
      </w:pPr>
      <w:r>
        <w:rPr>
          <w:rFonts w:ascii="Times New Roman" w:hAnsi="Times New Roman"/>
          <w:b/>
          <w:sz w:val="32"/>
        </w:rPr>
        <w:t>2.4.1. Расподела по платформама</w:t>
      </w:r>
    </w:p>
    <w:p w14:paraId="52B72A84"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Анализирајући расподелу по платформама (Слика 2.4), уочава се релативно уравнотежен узорак</w:t>
      </w:r>
      <w:r>
        <w:rPr>
          <w:color w:val="0F1115"/>
          <w:szCs w:val="30"/>
          <w:lang w:val="sr-Cyrl-RS"/>
        </w:rPr>
        <w:t>. С</w:t>
      </w:r>
      <w:r>
        <w:rPr>
          <w:color w:val="0F1115"/>
          <w:szCs w:val="30"/>
        </w:rPr>
        <w:t>вака платформа доприноси са приближно 690–780 коментара. Facebook је најзаступљенији (783), следе YouTube (702), X (695) и Instagram (694).</w:t>
      </w:r>
    </w:p>
    <w:p w14:paraId="57E6E73D" w14:textId="77777777"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1B8B223D">
            <wp:extent cx="3217333" cy="233291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5183" cy="2345854"/>
                    </a:xfrm>
                    <a:prstGeom prst="rect">
                      <a:avLst/>
                    </a:prstGeom>
                    <a:noFill/>
                    <a:ln>
                      <a:noFill/>
                    </a:ln>
                  </pic:spPr>
                </pic:pic>
              </a:graphicData>
            </a:graphic>
          </wp:inline>
        </w:drawing>
      </w:r>
    </w:p>
    <w:p w14:paraId="5041EE78" w14:textId="77777777" w:rsidR="00086E10" w:rsidRDefault="00086E10" w:rsidP="00D01A4B">
      <w:pPr>
        <w:jc w:val="center"/>
        <w:rPr>
          <w:rStyle w:val="ds-markdown-html"/>
          <w:color w:val="0F1115"/>
          <w:szCs w:val="30"/>
          <w:shd w:val="clear" w:color="auto" w:fill="FFFFFF"/>
          <w:lang w:val="sr-Cyrl-RS"/>
        </w:rPr>
      </w:pPr>
      <w:r>
        <w:rPr>
          <w:rStyle w:val="ds-markdown-html"/>
          <w:color w:val="0F1115"/>
          <w:szCs w:val="30"/>
          <w:shd w:val="clear" w:color="auto" w:fill="FFFFFF"/>
        </w:rPr>
        <w:t>Слика 2.4. Број анотираних коментара по платформи и класи</w:t>
      </w:r>
    </w:p>
    <w:p w14:paraId="0C664D3C" w14:textId="77777777" w:rsidR="00D40ECD" w:rsidRPr="00D40ECD" w:rsidRDefault="00D40ECD" w:rsidP="00D01A4B">
      <w:pPr>
        <w:jc w:val="center"/>
        <w:rPr>
          <w:sz w:val="20"/>
          <w:lang w:val="sr-Cyrl-RS"/>
        </w:rPr>
      </w:pPr>
    </w:p>
    <w:p w14:paraId="4BADAFE4"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lastRenderedPageBreak/>
        <w:drawing>
          <wp:inline distT="0" distB="0" distL="0" distR="0" wp14:anchorId="023D2278" wp14:editId="575C503F">
            <wp:extent cx="3378200" cy="2073973"/>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3426205" cy="2103445"/>
                    </a:xfrm>
                    <a:prstGeom prst="rect">
                      <a:avLst/>
                    </a:prstGeom>
                    <a:noFill/>
                    <a:ln>
                      <a:noFill/>
                    </a:ln>
                    <a:extLst>
                      <a:ext uri="{53640926-AAD7-44D8-BBD7-CCE9431645EC}">
                        <a14:shadowObscured xmlns:a14="http://schemas.microsoft.com/office/drawing/2010/main"/>
                      </a:ext>
                    </a:extLst>
                  </pic:spPr>
                </pic:pic>
              </a:graphicData>
            </a:graphic>
          </wp:inline>
        </w:drawing>
      </w:r>
    </w:p>
    <w:p w14:paraId="6141A766" w14:textId="77777777" w:rsidR="00D01A4B" w:rsidRPr="003F13B1" w:rsidRDefault="00086E10" w:rsidP="0093461C">
      <w:pPr>
        <w:jc w:val="center"/>
        <w:rPr>
          <w:rStyle w:val="ds-markdown-html"/>
          <w:color w:val="0F1115"/>
          <w:szCs w:val="30"/>
          <w:shd w:val="clear" w:color="auto" w:fill="FFFFFF"/>
        </w:rPr>
      </w:pPr>
      <w:r>
        <w:rPr>
          <w:rStyle w:val="ds-markdown-html"/>
          <w:color w:val="0F1115"/>
          <w:szCs w:val="30"/>
          <w:shd w:val="clear" w:color="auto" w:fill="FFFFFF"/>
        </w:rPr>
        <w:t>Слика 2.</w:t>
      </w:r>
      <w:r>
        <w:rPr>
          <w:rStyle w:val="ds-markdown-html"/>
          <w:color w:val="0F1115"/>
          <w:szCs w:val="30"/>
          <w:shd w:val="clear" w:color="auto" w:fill="FFFFFF"/>
          <w:lang w:val="sr-Cyrl-RS"/>
        </w:rPr>
        <w:t xml:space="preserve">5 </w:t>
      </w:r>
      <w:r>
        <w:rPr>
          <w:rStyle w:val="ds-markdown-html"/>
          <w:color w:val="0F1115"/>
          <w:szCs w:val="30"/>
          <w:shd w:val="clear" w:color="auto" w:fill="FFFFFF"/>
        </w:rPr>
        <w:t>Удео класа унутар сваке платформе</w:t>
      </w:r>
    </w:p>
    <w:p w14:paraId="2EBFF1A3"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r>
        <w:rPr>
          <w:color w:val="0F1115"/>
          <w:szCs w:val="30"/>
        </w:rPr>
        <w:t>Међутим, када се погледа удео класа унутар сваке платформе (Слика 2.</w:t>
      </w:r>
      <w:r>
        <w:rPr>
          <w:color w:val="0F1115"/>
          <w:szCs w:val="30"/>
          <w:lang w:val="sr-Cyrl-RS"/>
        </w:rPr>
        <w:t>5</w:t>
      </w:r>
      <w:r>
        <w:rPr>
          <w:color w:val="0F1115"/>
          <w:szCs w:val="30"/>
        </w:rPr>
        <w:t>), долазимо до занимаљивих увида. Facebook и X имају већи удео коментара против власти (49% односно 38%), док Instagram предњачи по подршци власти (41%). YouTube се издваја по највећем уделу неутралних коментара (26%). 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
    <w:p w14:paraId="14A5BE2E" w14:textId="77777777" w:rsidR="00D01A4B" w:rsidRPr="003F13B1" w:rsidRDefault="00D01A4B" w:rsidP="00D01A4B">
      <w:pPr>
        <w:jc w:val="center"/>
        <w:rPr>
          <w:rStyle w:val="ds-markdown-html"/>
          <w:color w:val="0F1115"/>
          <w:szCs w:val="30"/>
          <w:shd w:val="clear" w:color="auto" w:fill="FFFFFF"/>
        </w:rPr>
      </w:pPr>
    </w:p>
    <w:p w14:paraId="357D9486" w14:textId="77777777" w:rsidR="00D01A4B" w:rsidRPr="003F13B1" w:rsidRDefault="00D01A4B" w:rsidP="00D01A4B">
      <w:pPr>
        <w:jc w:val="center"/>
        <w:rPr>
          <w:sz w:val="20"/>
        </w:rPr>
      </w:pPr>
    </w:p>
    <w:p w14:paraId="2DB799CB" w14:textId="77777777" w:rsidR="00086E10" w:rsidRPr="003F13B1" w:rsidRDefault="00D01A4B" w:rsidP="00D01A4B">
      <w:pPr>
        <w:pStyle w:val="Vremepredajeteze"/>
        <w:jc w:val="both"/>
        <w:rPr>
          <w:rFonts w:ascii="Times New Roman" w:hAnsi="Times New Roman"/>
          <w:b/>
          <w:sz w:val="32"/>
        </w:rPr>
      </w:pPr>
      <w:r>
        <w:rPr>
          <w:rFonts w:ascii="Times New Roman" w:hAnsi="Times New Roman"/>
          <w:b/>
          <w:sz w:val="32"/>
        </w:rPr>
        <w:t>2.4.2. Дужина коментара</w:t>
      </w:r>
    </w:p>
    <w:p w14:paraId="7793D4AA" w14:textId="77777777"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Статистика дужине коментара (мерена бројем речи)</w:t>
      </w:r>
      <w:r>
        <w:rPr>
          <w:color w:val="0F1115"/>
          <w:szCs w:val="30"/>
          <w:lang w:val="sr-Cyrl-RS"/>
        </w:rPr>
        <w:t>, приказана у Табели 2.1,</w:t>
      </w:r>
      <w:r>
        <w:rPr>
          <w:color w:val="0F1115"/>
          <w:szCs w:val="30"/>
        </w:rPr>
        <w:t xml:space="preserve"> открива одређене разлике међу класама:</w:t>
      </w:r>
    </w:p>
    <w:p w14:paraId="7D526861" w14:textId="77777777"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Табела 2.1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4B5B7370"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7B3D5C" w14:textId="77777777" w:rsidR="00086E10" w:rsidRPr="009B1587" w:rsidRDefault="00086E10" w:rsidP="0093461C">
            <w:pPr>
              <w:spacing w:line="468" w:lineRule="atLeast"/>
              <w:jc w:val="center"/>
              <w:rPr>
                <w:sz w:val="24"/>
                <w:szCs w:val="32"/>
              </w:rPr>
            </w:pPr>
            <w:r>
              <w:rPr>
                <w:sz w:val="24"/>
                <w:szCs w:val="32"/>
              </w:rPr>
              <w:t>Класа</w:t>
            </w:r>
          </w:p>
        </w:tc>
        <w:tc>
          <w:tcPr>
            <w:tcW w:w="0" w:type="auto"/>
            <w:hideMark/>
          </w:tcPr>
          <w:p w14:paraId="5BEDD075"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Број</w:t>
            </w:r>
          </w:p>
        </w:tc>
        <w:tc>
          <w:tcPr>
            <w:tcW w:w="0" w:type="auto"/>
            <w:hideMark/>
          </w:tcPr>
          <w:p w14:paraId="4D62F0C5"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Просек</w:t>
            </w:r>
          </w:p>
        </w:tc>
        <w:tc>
          <w:tcPr>
            <w:tcW w:w="0" w:type="auto"/>
            <w:hideMark/>
          </w:tcPr>
          <w:p w14:paraId="67BB8E5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Медијана</w:t>
            </w:r>
          </w:p>
        </w:tc>
        <w:tc>
          <w:tcPr>
            <w:tcW w:w="0" w:type="auto"/>
            <w:hideMark/>
          </w:tcPr>
          <w:p w14:paraId="21511C44"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Std</w:t>
            </w:r>
          </w:p>
        </w:tc>
        <w:tc>
          <w:tcPr>
            <w:tcW w:w="0" w:type="auto"/>
            <w:hideMark/>
          </w:tcPr>
          <w:p w14:paraId="3FB62310"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p90</w:t>
            </w:r>
          </w:p>
        </w:tc>
        <w:tc>
          <w:tcPr>
            <w:tcW w:w="0" w:type="auto"/>
            <w:hideMark/>
          </w:tcPr>
          <w:p w14:paraId="496BE5C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Макс.</w:t>
            </w:r>
          </w:p>
        </w:tc>
      </w:tr>
      <w:tr w:rsidR="00086E10" w:rsidRPr="003F13B1" w14:paraId="66D38574"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86F99" w14:textId="77777777" w:rsidR="00086E10" w:rsidRPr="009B1587" w:rsidRDefault="00086E10" w:rsidP="0093461C">
            <w:pPr>
              <w:spacing w:line="468" w:lineRule="atLeast"/>
              <w:jc w:val="center"/>
              <w:rPr>
                <w:sz w:val="24"/>
                <w:szCs w:val="32"/>
              </w:rPr>
            </w:pPr>
            <w:r>
              <w:rPr>
                <w:sz w:val="24"/>
                <w:szCs w:val="32"/>
              </w:rPr>
              <w:t>NEUTRAL</w:t>
            </w:r>
          </w:p>
        </w:tc>
        <w:tc>
          <w:tcPr>
            <w:tcW w:w="0" w:type="auto"/>
            <w:hideMark/>
          </w:tcPr>
          <w:p w14:paraId="578E073D"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668</w:t>
            </w:r>
          </w:p>
        </w:tc>
        <w:tc>
          <w:tcPr>
            <w:tcW w:w="0" w:type="auto"/>
            <w:hideMark/>
          </w:tcPr>
          <w:p w14:paraId="7EB89403"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14,65</w:t>
            </w:r>
          </w:p>
        </w:tc>
        <w:tc>
          <w:tcPr>
            <w:tcW w:w="0" w:type="auto"/>
            <w:hideMark/>
          </w:tcPr>
          <w:p w14:paraId="0A1323A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9,0</w:t>
            </w:r>
          </w:p>
        </w:tc>
        <w:tc>
          <w:tcPr>
            <w:tcW w:w="0" w:type="auto"/>
            <w:hideMark/>
          </w:tcPr>
          <w:p w14:paraId="1B4BEBE1"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21,28</w:t>
            </w:r>
          </w:p>
        </w:tc>
        <w:tc>
          <w:tcPr>
            <w:tcW w:w="0" w:type="auto"/>
            <w:hideMark/>
          </w:tcPr>
          <w:p w14:paraId="4AA4D64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27,3</w:t>
            </w:r>
          </w:p>
        </w:tc>
        <w:tc>
          <w:tcPr>
            <w:tcW w:w="0" w:type="auto"/>
            <w:hideMark/>
          </w:tcPr>
          <w:p w14:paraId="30BD3CD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222</w:t>
            </w:r>
          </w:p>
        </w:tc>
      </w:tr>
      <w:tr w:rsidR="00086E10" w:rsidRPr="003F13B1" w14:paraId="75BDCA87"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39752" w14:textId="77777777" w:rsidR="00086E10" w:rsidRPr="009B1587" w:rsidRDefault="00086E10" w:rsidP="0093461C">
            <w:pPr>
              <w:spacing w:line="468" w:lineRule="atLeast"/>
              <w:jc w:val="center"/>
              <w:rPr>
                <w:sz w:val="24"/>
                <w:szCs w:val="32"/>
              </w:rPr>
            </w:pPr>
            <w:r>
              <w:rPr>
                <w:sz w:val="24"/>
                <w:szCs w:val="32"/>
              </w:rPr>
              <w:t>ZA-VLAST</w:t>
            </w:r>
          </w:p>
        </w:tc>
        <w:tc>
          <w:tcPr>
            <w:tcW w:w="0" w:type="auto"/>
            <w:hideMark/>
          </w:tcPr>
          <w:p w14:paraId="13C0F903"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1038</w:t>
            </w:r>
          </w:p>
        </w:tc>
        <w:tc>
          <w:tcPr>
            <w:tcW w:w="0" w:type="auto"/>
            <w:hideMark/>
          </w:tcPr>
          <w:p w14:paraId="6D1DA1DB"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16,34</w:t>
            </w:r>
          </w:p>
        </w:tc>
        <w:tc>
          <w:tcPr>
            <w:tcW w:w="0" w:type="auto"/>
            <w:hideMark/>
          </w:tcPr>
          <w:p w14:paraId="24D7507C"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14,0</w:t>
            </w:r>
          </w:p>
        </w:tc>
        <w:tc>
          <w:tcPr>
            <w:tcW w:w="0" w:type="auto"/>
            <w:hideMark/>
          </w:tcPr>
          <w:p w14:paraId="73377DA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14,52</w:t>
            </w:r>
          </w:p>
        </w:tc>
        <w:tc>
          <w:tcPr>
            <w:tcW w:w="0" w:type="auto"/>
            <w:hideMark/>
          </w:tcPr>
          <w:p w14:paraId="32DD9E35"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29,0</w:t>
            </w:r>
          </w:p>
        </w:tc>
        <w:tc>
          <w:tcPr>
            <w:tcW w:w="0" w:type="auto"/>
            <w:hideMark/>
          </w:tcPr>
          <w:p w14:paraId="7B0B2600"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128</w:t>
            </w:r>
          </w:p>
        </w:tc>
      </w:tr>
      <w:tr w:rsidR="00086E10" w:rsidRPr="003F13B1" w14:paraId="03E57130"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F990D" w14:textId="77777777" w:rsidR="00086E10" w:rsidRPr="009B1587" w:rsidRDefault="00086E10" w:rsidP="0093461C">
            <w:pPr>
              <w:spacing w:line="468" w:lineRule="atLeast"/>
              <w:jc w:val="center"/>
              <w:rPr>
                <w:sz w:val="24"/>
                <w:szCs w:val="32"/>
              </w:rPr>
            </w:pPr>
            <w:r>
              <w:rPr>
                <w:sz w:val="24"/>
                <w:szCs w:val="32"/>
              </w:rPr>
              <w:t>PROTIV-VLASTI</w:t>
            </w:r>
          </w:p>
        </w:tc>
        <w:tc>
          <w:tcPr>
            <w:tcW w:w="0" w:type="auto"/>
            <w:hideMark/>
          </w:tcPr>
          <w:p w14:paraId="2A6F52E1"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1168</w:t>
            </w:r>
          </w:p>
        </w:tc>
        <w:tc>
          <w:tcPr>
            <w:tcW w:w="0" w:type="auto"/>
            <w:hideMark/>
          </w:tcPr>
          <w:p w14:paraId="0BCB3C56"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15,82</w:t>
            </w:r>
          </w:p>
        </w:tc>
        <w:tc>
          <w:tcPr>
            <w:tcW w:w="0" w:type="auto"/>
            <w:hideMark/>
          </w:tcPr>
          <w:p w14:paraId="0ED6645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12,0</w:t>
            </w:r>
          </w:p>
        </w:tc>
        <w:tc>
          <w:tcPr>
            <w:tcW w:w="0" w:type="auto"/>
            <w:hideMark/>
          </w:tcPr>
          <w:p w14:paraId="51D53BA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17,70</w:t>
            </w:r>
          </w:p>
        </w:tc>
        <w:tc>
          <w:tcPr>
            <w:tcW w:w="0" w:type="auto"/>
            <w:hideMark/>
          </w:tcPr>
          <w:p w14:paraId="7C5F00E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31,0</w:t>
            </w:r>
          </w:p>
        </w:tc>
        <w:tc>
          <w:tcPr>
            <w:tcW w:w="0" w:type="auto"/>
            <w:hideMark/>
          </w:tcPr>
          <w:p w14:paraId="63B3CDA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214</w:t>
            </w:r>
          </w:p>
        </w:tc>
      </w:tr>
    </w:tbl>
    <w:p w14:paraId="1433F909" w14:textId="7777777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Коментари који подржавају власт су у просеку најдужи (медијана 14 речи), док су неутрални најкраћи (медијана 9 речи). Ово је интуитивно очекивано</w:t>
      </w:r>
      <w:r>
        <w:rPr>
          <w:color w:val="0F1115"/>
          <w:szCs w:val="30"/>
          <w:lang w:val="sr-Cyrl-RS"/>
        </w:rPr>
        <w:t>,</w:t>
      </w:r>
      <w:r>
        <w:rPr>
          <w:color w:val="0F1115"/>
          <w:szCs w:val="30"/>
        </w:rPr>
        <w:t xml:space="preserve"> изражавање става често захтева више речи него пуко преношење информације. Највећу варијабилност показују неутрални коментари, што указује да се међу њима налазе и веома опширни, али и изразито сажети примери.</w:t>
      </w:r>
      <w:r>
        <w:rPr>
          <w:color w:val="0F1115"/>
          <w:szCs w:val="30"/>
          <w:lang w:val="sr-Cyrl-RS"/>
        </w:rPr>
        <w:t xml:space="preserve"> На Слици 2.6 може се видети дистрибуција дужине коментара по класи.</w:t>
      </w:r>
    </w:p>
    <w:p w14:paraId="28E58365"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lastRenderedPageBreak/>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07EE8B38"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rStyle w:val="ds-markdown-html"/>
          <w:color w:val="0F1115"/>
          <w:szCs w:val="30"/>
          <w:shd w:val="clear" w:color="auto" w:fill="FFFFFF"/>
        </w:rPr>
        <w:t>Слика 2.</w:t>
      </w:r>
      <w:r>
        <w:rPr>
          <w:rStyle w:val="ds-markdown-html"/>
          <w:color w:val="0F1115"/>
          <w:szCs w:val="30"/>
          <w:shd w:val="clear" w:color="auto" w:fill="FFFFFF"/>
          <w:lang w:val="sr-Cyrl-RS"/>
        </w:rPr>
        <w:t>6</w:t>
      </w:r>
      <w:r>
        <w:rPr>
          <w:rStyle w:val="ds-markdown-html"/>
          <w:color w:val="0F1115"/>
          <w:szCs w:val="30"/>
          <w:shd w:val="clear" w:color="auto" w:fill="FFFFFF"/>
        </w:rPr>
        <w:t xml:space="preserve"> Дистрибуција дужине коментара по класи</w:t>
      </w:r>
    </w:p>
    <w:p w14:paraId="655F886E"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Pr>
          <w:noProof/>
          <w:color w:val="0F1115"/>
          <w:szCs w:val="30"/>
        </w:rPr>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1D01E0CB" w14:textId="77777777" w:rsidR="00086E10" w:rsidRPr="003F13B1" w:rsidRDefault="00086E10" w:rsidP="00D01A4B">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7</w:t>
      </w:r>
      <w:r>
        <w:rPr>
          <w:rStyle w:val="ds-markdown-html"/>
          <w:color w:val="0F1115"/>
          <w:szCs w:val="30"/>
          <w:shd w:val="clear" w:color="auto" w:fill="FFFFFF"/>
        </w:rPr>
        <w:t xml:space="preserve"> Дужина коментара по платформи</w:t>
      </w:r>
    </w:p>
    <w:p w14:paraId="6C1996BF" w14:textId="77777777"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 xml:space="preserve">Посматрано по платформама, најдужи коментари потичу са </w:t>
      </w:r>
      <w:r>
        <w:rPr>
          <w:i/>
          <w:iCs/>
          <w:color w:val="0F1115"/>
          <w:szCs w:val="30"/>
        </w:rPr>
        <w:t>You Tube</w:t>
      </w:r>
      <w:r>
        <w:rPr>
          <w:color w:val="0F1115"/>
          <w:szCs w:val="30"/>
        </w:rPr>
        <w:t xml:space="preserve">-а и </w:t>
      </w:r>
      <w:r>
        <w:rPr>
          <w:i/>
          <w:iCs/>
          <w:color w:val="0F1115"/>
          <w:szCs w:val="30"/>
        </w:rPr>
        <w:t>Facebook</w:t>
      </w:r>
      <w:r>
        <w:rPr>
          <w:color w:val="0F1115"/>
          <w:szCs w:val="30"/>
        </w:rPr>
        <w:t>-а, где корисници чешће остављају опширније изразе. На X-у су коментари очекивано краћи, што је последица ограничења дужине твитова.</w:t>
      </w:r>
      <w:r>
        <w:rPr>
          <w:color w:val="0F1115"/>
          <w:szCs w:val="30"/>
          <w:lang w:val="sr-Cyrl-RS"/>
        </w:rPr>
        <w:t xml:space="preserve"> Ово се може видети на Слици 2.7.</w:t>
      </w:r>
    </w:p>
    <w:p w14:paraId="2CB916C6"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3" w:name="_Toc238481655"/>
      <w:r>
        <w:rPr>
          <w:rFonts w:ascii="Times New Roman" w:hAnsi="Times New Roman" w:cs="Times New Roman"/>
          <w:color w:val="0F1115"/>
          <w:sz w:val="37"/>
          <w:szCs w:val="37"/>
        </w:rPr>
        <w:t>2.4.3. Најчешће речи — семантички отисак класа</w:t>
      </w:r>
      <w:bookmarkEnd w:id="13"/>
    </w:p>
    <w:p w14:paraId="53AB674C"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Анализа најфреквентнијих речи по класама (Слика 2.</w:t>
      </w:r>
      <w:r>
        <w:rPr>
          <w:color w:val="0F1115"/>
          <w:szCs w:val="30"/>
          <w:lang w:val="sr-Cyrl-RS"/>
        </w:rPr>
        <w:t>8</w:t>
      </w:r>
      <w:r>
        <w:rPr>
          <w:color w:val="0F1115"/>
          <w:szCs w:val="30"/>
        </w:rPr>
        <w:t>) потврђује да су класе семантички добро одвојене. Код неутралних коментара доминирају опште речи попут </w:t>
      </w:r>
      <w:r>
        <w:rPr>
          <w:rStyle w:val="Emphasis"/>
          <w:color w:val="0F1115"/>
          <w:szCs w:val="30"/>
        </w:rPr>
        <w:t>људи, народ, било, треба</w:t>
      </w:r>
      <w:r>
        <w:rPr>
          <w:color w:val="0F1115"/>
          <w:szCs w:val="30"/>
        </w:rPr>
        <w:t>, без јаке емотивне обојености. Код присталица власти истичу се речи </w:t>
      </w:r>
      <w:r>
        <w:rPr>
          <w:rStyle w:val="Emphasis"/>
          <w:color w:val="0F1115"/>
          <w:szCs w:val="30"/>
        </w:rPr>
        <w:t>Србија</w:t>
      </w:r>
      <w:r>
        <w:rPr>
          <w:color w:val="0F1115"/>
          <w:szCs w:val="30"/>
        </w:rPr>
        <w:t>,</w:t>
      </w:r>
      <w:r>
        <w:rPr>
          <w:color w:val="0F1115"/>
          <w:szCs w:val="30"/>
          <w:lang w:val="sr-Cyrl-RS"/>
        </w:rPr>
        <w:t xml:space="preserve"> </w:t>
      </w:r>
      <w:r>
        <w:rPr>
          <w:i/>
          <w:iCs/>
          <w:color w:val="0F1115"/>
          <w:szCs w:val="30"/>
          <w:lang w:val="sr-Cyrl-RS"/>
        </w:rPr>
        <w:t>председник, браво,</w:t>
      </w:r>
      <w:r>
        <w:rPr>
          <w:color w:val="0F1115"/>
          <w:szCs w:val="30"/>
        </w:rPr>
        <w:t xml:space="preserve"> што указује на патриотски дискурс. Код противника власти доминирају речи </w:t>
      </w:r>
      <w:r>
        <w:rPr>
          <w:rStyle w:val="Emphasis"/>
          <w:lang w:val="sr-Cyrl-RS"/>
        </w:rPr>
        <w:t xml:space="preserve">студенти, сви, народ, снс </w:t>
      </w:r>
      <w:r>
        <w:rPr>
          <w:color w:val="0F1115"/>
          <w:szCs w:val="30"/>
        </w:rPr>
        <w:t>— што говори о критичком тону и захтевима за променама.</w:t>
      </w:r>
    </w:p>
    <w:p w14:paraId="71A69F61"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Pr>
          <w:noProof/>
          <w:color w:val="0F1115"/>
          <w:szCs w:val="30"/>
        </w:rPr>
        <w:lastRenderedPageBreak/>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203D451A" w14:textId="77777777" w:rsidR="00086E10" w:rsidRPr="003F13B1" w:rsidRDefault="00086E10" w:rsidP="00D01A4B">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8</w:t>
      </w:r>
      <w:r>
        <w:rPr>
          <w:rStyle w:val="ds-markdown-html"/>
          <w:color w:val="0F1115"/>
          <w:szCs w:val="30"/>
          <w:shd w:val="clear" w:color="auto" w:fill="FFFFFF"/>
        </w:rPr>
        <w:t xml:space="preserve"> Најзаступљенији токени по класи</w:t>
      </w:r>
    </w:p>
    <w:p w14:paraId="6990A978" w14:textId="77777777" w:rsidR="00086E10" w:rsidRDefault="00D01A4B" w:rsidP="00086E10">
      <w:pPr>
        <w:shd w:val="clear" w:color="auto" w:fill="FFFFFF"/>
        <w:spacing w:before="268" w:after="268"/>
        <w:ind w:firstLine="720"/>
        <w:jc w:val="both"/>
        <w:rPr>
          <w:color w:val="0F1115"/>
          <w:szCs w:val="30"/>
          <w:lang w:val="sr-Cyrl-RS"/>
        </w:rPr>
      </w:pPr>
      <w:r>
        <w:rPr>
          <w:color w:val="0F1115"/>
          <w:szCs w:val="30"/>
        </w:rPr>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 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
    <w:p w14:paraId="6DC2552E" w14:textId="77777777" w:rsidR="00E664CE" w:rsidRDefault="00E664CE" w:rsidP="00086E10">
      <w:pPr>
        <w:shd w:val="clear" w:color="auto" w:fill="FFFFFF"/>
        <w:spacing w:before="268" w:after="268"/>
        <w:ind w:firstLine="720"/>
        <w:jc w:val="both"/>
        <w:rPr>
          <w:color w:val="0F1115"/>
          <w:szCs w:val="30"/>
          <w:lang w:val="sr-Cyrl-RS"/>
        </w:rPr>
      </w:pPr>
    </w:p>
    <w:p w14:paraId="534AB7D3" w14:textId="77777777" w:rsidR="00E664CE" w:rsidRDefault="00E664CE" w:rsidP="00086E10">
      <w:pPr>
        <w:shd w:val="clear" w:color="auto" w:fill="FFFFFF"/>
        <w:spacing w:before="268" w:after="268"/>
        <w:ind w:firstLine="720"/>
        <w:jc w:val="both"/>
        <w:rPr>
          <w:color w:val="0F1115"/>
          <w:szCs w:val="30"/>
          <w:lang w:val="sr-Cyrl-RS"/>
        </w:rPr>
      </w:pPr>
    </w:p>
    <w:p w14:paraId="747B0C11" w14:textId="77777777" w:rsidR="00E664CE" w:rsidRDefault="00E664CE" w:rsidP="00086E10">
      <w:pPr>
        <w:shd w:val="clear" w:color="auto" w:fill="FFFFFF"/>
        <w:spacing w:before="268" w:after="268"/>
        <w:ind w:firstLine="720"/>
        <w:jc w:val="both"/>
        <w:rPr>
          <w:color w:val="0F1115"/>
          <w:szCs w:val="30"/>
          <w:lang w:val="sr-Cyrl-RS"/>
        </w:rPr>
      </w:pPr>
    </w:p>
    <w:p w14:paraId="2F8AD007" w14:textId="77777777" w:rsidR="00E664CE" w:rsidRDefault="00E664CE" w:rsidP="00086E10">
      <w:pPr>
        <w:shd w:val="clear" w:color="auto" w:fill="FFFFFF"/>
        <w:spacing w:before="268" w:after="268"/>
        <w:ind w:firstLine="720"/>
        <w:jc w:val="both"/>
        <w:rPr>
          <w:color w:val="0F1115"/>
          <w:szCs w:val="30"/>
          <w:lang w:val="sr-Cyrl-RS"/>
        </w:rPr>
      </w:pPr>
    </w:p>
    <w:p w14:paraId="7B5B6D16" w14:textId="77777777" w:rsidR="00E664CE" w:rsidRDefault="00E664CE" w:rsidP="00086E10">
      <w:pPr>
        <w:shd w:val="clear" w:color="auto" w:fill="FFFFFF"/>
        <w:spacing w:before="268" w:after="268"/>
        <w:ind w:firstLine="720"/>
        <w:jc w:val="both"/>
        <w:rPr>
          <w:color w:val="0F1115"/>
          <w:szCs w:val="30"/>
          <w:lang w:val="sr-Cyrl-RS"/>
        </w:rPr>
      </w:pPr>
    </w:p>
    <w:p w14:paraId="7D74EF4E" w14:textId="77777777" w:rsidR="00E664CE" w:rsidRDefault="00E664CE" w:rsidP="00086E10">
      <w:pPr>
        <w:shd w:val="clear" w:color="auto" w:fill="FFFFFF"/>
        <w:spacing w:before="268" w:after="268"/>
        <w:ind w:firstLine="720"/>
        <w:jc w:val="both"/>
        <w:rPr>
          <w:color w:val="0F1115"/>
          <w:szCs w:val="30"/>
          <w:lang w:val="sr-Cyrl-RS"/>
        </w:rPr>
      </w:pPr>
    </w:p>
    <w:p w14:paraId="0A0D8F88" w14:textId="77777777" w:rsidR="00E664CE" w:rsidRDefault="00E664CE" w:rsidP="00086E10">
      <w:pPr>
        <w:shd w:val="clear" w:color="auto" w:fill="FFFFFF"/>
        <w:spacing w:before="268" w:after="268"/>
        <w:ind w:firstLine="720"/>
        <w:jc w:val="both"/>
        <w:rPr>
          <w:color w:val="0F1115"/>
          <w:szCs w:val="30"/>
          <w:lang w:val="sr-Cyrl-RS"/>
        </w:rPr>
      </w:pPr>
    </w:p>
    <w:p w14:paraId="45480230" w14:textId="77777777" w:rsidR="00E664CE" w:rsidRDefault="00E664CE" w:rsidP="00086E10">
      <w:pPr>
        <w:shd w:val="clear" w:color="auto" w:fill="FFFFFF"/>
        <w:spacing w:before="268" w:after="268"/>
        <w:ind w:firstLine="720"/>
        <w:jc w:val="both"/>
        <w:rPr>
          <w:color w:val="0F1115"/>
          <w:szCs w:val="30"/>
          <w:lang w:val="sr-Cyrl-RS"/>
        </w:rPr>
      </w:pPr>
    </w:p>
    <w:p w14:paraId="7688C499" w14:textId="77777777" w:rsidR="00E664CE" w:rsidRDefault="00E664CE" w:rsidP="00086E10">
      <w:pPr>
        <w:shd w:val="clear" w:color="auto" w:fill="FFFFFF"/>
        <w:spacing w:before="268" w:after="268"/>
        <w:ind w:firstLine="720"/>
        <w:jc w:val="both"/>
        <w:rPr>
          <w:color w:val="0F1115"/>
          <w:szCs w:val="30"/>
          <w:lang w:val="sr-Cyrl-RS"/>
        </w:rPr>
      </w:pPr>
    </w:p>
    <w:p w14:paraId="77EB27A0" w14:textId="77777777" w:rsidR="00E664CE" w:rsidRDefault="00E664CE" w:rsidP="00086E10">
      <w:pPr>
        <w:shd w:val="clear" w:color="auto" w:fill="FFFFFF"/>
        <w:spacing w:before="268" w:after="268"/>
        <w:ind w:firstLine="720"/>
        <w:jc w:val="both"/>
        <w:rPr>
          <w:color w:val="0F1115"/>
          <w:szCs w:val="30"/>
          <w:lang w:val="sr-Cyrl-RS"/>
        </w:rPr>
      </w:pPr>
    </w:p>
    <w:p w14:paraId="135C23AF" w14:textId="77777777" w:rsidR="00E664CE" w:rsidRDefault="00E664CE" w:rsidP="00086E10">
      <w:pPr>
        <w:shd w:val="clear" w:color="auto" w:fill="FFFFFF"/>
        <w:spacing w:before="268" w:after="268"/>
        <w:ind w:firstLine="720"/>
        <w:jc w:val="both"/>
        <w:rPr>
          <w:color w:val="0F1115"/>
          <w:szCs w:val="30"/>
          <w:lang w:val="sr-Cyrl-RS"/>
        </w:rPr>
      </w:pPr>
    </w:p>
    <w:p w14:paraId="50D19C1B" w14:textId="77777777" w:rsidR="00E664CE" w:rsidRDefault="00E664CE" w:rsidP="00086E10">
      <w:pPr>
        <w:shd w:val="clear" w:color="auto" w:fill="FFFFFF"/>
        <w:spacing w:before="268" w:after="268"/>
        <w:ind w:firstLine="720"/>
        <w:jc w:val="both"/>
        <w:rPr>
          <w:color w:val="0F1115"/>
          <w:szCs w:val="30"/>
          <w:lang w:val="sr-Cyrl-RS"/>
        </w:rPr>
      </w:pPr>
    </w:p>
    <w:p w14:paraId="145EA61B" w14:textId="77777777" w:rsidR="00E664CE" w:rsidRDefault="00E664CE" w:rsidP="00086E10">
      <w:pPr>
        <w:shd w:val="clear" w:color="auto" w:fill="FFFFFF"/>
        <w:spacing w:before="268" w:after="268"/>
        <w:ind w:firstLine="720"/>
        <w:jc w:val="both"/>
        <w:rPr>
          <w:color w:val="0F1115"/>
          <w:szCs w:val="30"/>
          <w:lang w:val="sr-Cyrl-RS"/>
        </w:rPr>
      </w:pPr>
    </w:p>
    <w:p w14:paraId="0E171BAD" w14:textId="77777777" w:rsidR="00E664CE" w:rsidRDefault="00E664CE" w:rsidP="00086E10">
      <w:pPr>
        <w:shd w:val="clear" w:color="auto" w:fill="FFFFFF"/>
        <w:spacing w:before="268" w:after="268"/>
        <w:ind w:firstLine="720"/>
        <w:jc w:val="both"/>
        <w:rPr>
          <w:color w:val="0F1115"/>
          <w:szCs w:val="30"/>
          <w:lang w:val="sr-Cyrl-RS"/>
        </w:rPr>
      </w:pPr>
    </w:p>
    <w:p w14:paraId="278D625D" w14:textId="77777777" w:rsidR="00E664CE" w:rsidRDefault="00E664CE" w:rsidP="00086E10">
      <w:pPr>
        <w:shd w:val="clear" w:color="auto" w:fill="FFFFFF"/>
        <w:spacing w:before="268" w:after="268"/>
        <w:ind w:firstLine="720"/>
        <w:jc w:val="both"/>
        <w:rPr>
          <w:color w:val="0F1115"/>
          <w:szCs w:val="30"/>
          <w:lang w:val="sr-Cyrl-RS"/>
        </w:rPr>
      </w:pPr>
    </w:p>
    <w:p w14:paraId="76034B32" w14:textId="77777777" w:rsidR="00E664CE" w:rsidRDefault="00E664CE" w:rsidP="00086E10">
      <w:pPr>
        <w:shd w:val="clear" w:color="auto" w:fill="FFFFFF"/>
        <w:spacing w:before="268" w:after="268"/>
        <w:ind w:firstLine="720"/>
        <w:jc w:val="both"/>
        <w:rPr>
          <w:color w:val="0F1115"/>
          <w:szCs w:val="30"/>
          <w:lang w:val="sr-Cyrl-RS"/>
        </w:rPr>
      </w:pPr>
    </w:p>
    <w:p w14:paraId="7768ACF4" w14:textId="77777777" w:rsidR="00E664CE" w:rsidRDefault="00E664CE" w:rsidP="00086E10">
      <w:pPr>
        <w:shd w:val="clear" w:color="auto" w:fill="FFFFFF"/>
        <w:spacing w:before="268" w:after="268"/>
        <w:ind w:firstLine="720"/>
        <w:jc w:val="both"/>
        <w:rPr>
          <w:color w:val="0F1115"/>
          <w:szCs w:val="30"/>
          <w:lang w:val="sr-Cyrl-RS"/>
        </w:rPr>
      </w:pPr>
    </w:p>
    <w:p w14:paraId="05C00D26" w14:textId="77777777" w:rsidR="00E664CE" w:rsidRDefault="00E664CE" w:rsidP="00086E10">
      <w:pPr>
        <w:shd w:val="clear" w:color="auto" w:fill="FFFFFF"/>
        <w:spacing w:before="268" w:after="268"/>
        <w:ind w:firstLine="720"/>
        <w:jc w:val="both"/>
        <w:rPr>
          <w:color w:val="0F1115"/>
          <w:szCs w:val="30"/>
          <w:lang w:val="sr-Cyrl-RS"/>
        </w:rPr>
      </w:pPr>
    </w:p>
    <w:p w14:paraId="33C50BB3" w14:textId="77777777" w:rsidR="00E664CE" w:rsidRPr="00486D4F" w:rsidRDefault="00E664CE" w:rsidP="00086E10">
      <w:pPr>
        <w:shd w:val="clear" w:color="auto" w:fill="FFFFFF"/>
        <w:spacing w:before="268" w:after="268"/>
        <w:ind w:firstLine="720"/>
        <w:jc w:val="both"/>
        <w:rPr>
          <w:color w:val="0F1115"/>
          <w:szCs w:val="30"/>
          <w:lang w:val="en-US"/>
        </w:rPr>
      </w:pPr>
    </w:p>
    <w:p w14:paraId="295EA1E7" w14:textId="77777777" w:rsidR="00E664CE" w:rsidRDefault="00E664CE" w:rsidP="00086E10">
      <w:pPr>
        <w:shd w:val="clear" w:color="auto" w:fill="FFFFFF"/>
        <w:spacing w:before="268" w:after="268"/>
        <w:ind w:firstLine="720"/>
        <w:jc w:val="both"/>
        <w:rPr>
          <w:color w:val="0F1115"/>
          <w:szCs w:val="30"/>
          <w:lang w:val="sr-Cyrl-RS"/>
        </w:rPr>
      </w:pPr>
    </w:p>
    <w:p w14:paraId="2E75E686" w14:textId="77777777"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4" w:name="_Toc238481656"/>
      <w:r>
        <w:rPr>
          <w:color w:val="0F1115"/>
          <w:sz w:val="45"/>
          <w:szCs w:val="45"/>
          <w:lang w:val="sr-Cyrl-RS"/>
        </w:rPr>
        <w:t>3</w:t>
      </w:r>
      <w:r>
        <w:rPr>
          <w:color w:val="0F1115"/>
          <w:sz w:val="45"/>
          <w:szCs w:val="45"/>
        </w:rPr>
        <w:t xml:space="preserve">. </w:t>
      </w:r>
      <w:r>
        <w:rPr>
          <w:color w:val="0F1115"/>
          <w:sz w:val="45"/>
          <w:szCs w:val="45"/>
          <w:lang w:val="sr-Cyrl-RS"/>
        </w:rPr>
        <w:t>Обучавање и евалуација модела</w:t>
      </w:r>
      <w:bookmarkEnd w:id="14"/>
    </w:p>
    <w:p w14:paraId="7C1960B8" w14:textId="77777777" w:rsidR="00486D4F" w:rsidRPr="00486D4F" w:rsidRDefault="00486D4F" w:rsidP="00486D4F">
      <w:pPr>
        <w:shd w:val="clear" w:color="auto" w:fill="FFFFFF"/>
        <w:spacing w:before="268" w:after="268"/>
        <w:ind w:firstLine="720"/>
        <w:jc w:val="both"/>
        <w:rPr>
          <w:lang w:val="sr-Cyrl-RS"/>
        </w:rPr>
      </w:pPr>
      <w:r>
        <w:t>У трећој фази истраживања разматрају се различити приступи класификацији става (</w:t>
      </w:r>
      <w:r>
        <w:rPr>
          <w:i/>
          <w:iCs/>
        </w:rPr>
        <w:t>stance classification</w:t>
      </w:r>
      <w:r>
        <w:t>) коментара који се односе на</w:t>
      </w:r>
      <w:r>
        <w:rPr>
          <w:lang w:val="sr-Cyrl-RS"/>
        </w:rPr>
        <w:t xml:space="preserve"> став људи према тренутној власти у Србији</w:t>
      </w:r>
      <w:r>
        <w:t xml:space="preserve">. Циљ ове фазе је да се успостави репрезентативна </w:t>
      </w:r>
      <w:r>
        <w:rPr>
          <w:i/>
          <w:iCs/>
        </w:rPr>
        <w:t>baseline</w:t>
      </w:r>
      <w:r>
        <w:t xml:space="preserve"> вредност применом класичних алгоритама машинског учења, а затим испита у којој мери </w:t>
      </w:r>
      <w:r>
        <w:rPr>
          <w:i/>
          <w:iCs/>
        </w:rPr>
        <w:t>Transformer</w:t>
      </w:r>
      <w:r>
        <w:t xml:space="preserve"> модели могу да унапреде резултате. Експерименти су подељени на </w:t>
      </w:r>
      <w:r>
        <w:rPr>
          <w:lang w:val="sr-Cyrl-RS"/>
        </w:rPr>
        <w:t xml:space="preserve">два </w:t>
      </w:r>
      <w:r>
        <w:t>приступа: класичне моделе машинског учења</w:t>
      </w:r>
      <w:r>
        <w:rPr>
          <w:lang w:val="sr-Cyrl-RS"/>
        </w:rPr>
        <w:t xml:space="preserve"> и</w:t>
      </w:r>
      <w:r>
        <w:t xml:space="preserve"> енкодер </w:t>
      </w:r>
      <w:r>
        <w:rPr>
          <w:i/>
          <w:iCs/>
        </w:rPr>
        <w:t>Transformer</w:t>
      </w:r>
      <w:r>
        <w:t xml:space="preserve"> моделе. Посебна пажња посвећена је утицају начина представљања текста и претпроцесирања, као и фер поређењу модела применом стратификоване унакрсне валидације.</w:t>
      </w:r>
    </w:p>
    <w:p w14:paraId="74A05BF7" w14:textId="77777777" w:rsidR="00473FAA" w:rsidRPr="00473FAA" w:rsidRDefault="00473FAA" w:rsidP="00B9549C">
      <w:pPr>
        <w:pStyle w:val="Heading2"/>
        <w:rPr>
          <w:lang w:val="sr-Cyrl-RS"/>
        </w:rPr>
      </w:pPr>
      <w:bookmarkStart w:id="15" w:name="_Toc238481657"/>
      <w:r>
        <w:rPr>
          <w:lang w:val="sr-Cyrl-RS"/>
        </w:rPr>
        <w:t>3.1</w:t>
      </w:r>
      <w:r>
        <w:t xml:space="preserve">. </w:t>
      </w:r>
      <w:r>
        <w:rPr>
          <w:i/>
          <w:iCs/>
        </w:rPr>
        <w:t>Baseline</w:t>
      </w:r>
      <w:r>
        <w:t xml:space="preserve"> </w:t>
      </w:r>
      <w:r>
        <w:rPr>
          <w:lang w:val="sr-Cyrl-RS"/>
        </w:rPr>
        <w:t>модели</w:t>
      </w:r>
      <w:bookmarkEnd w:id="15"/>
      <w:r>
        <w:t xml:space="preserve"> </w:t>
      </w:r>
    </w:p>
    <w:p w14:paraId="46F50CF0" w14:textId="77777777" w:rsidR="00473FAA" w:rsidRPr="00473FAA" w:rsidRDefault="00473FAA" w:rsidP="00473FAA">
      <w:pPr>
        <w:shd w:val="clear" w:color="auto" w:fill="FFFFFF"/>
        <w:spacing w:before="268" w:after="268"/>
        <w:ind w:firstLine="720"/>
        <w:jc w:val="both"/>
        <w:rPr>
          <w:color w:val="0F1115"/>
          <w:szCs w:val="27"/>
          <w:lang w:val="en-US"/>
        </w:rPr>
      </w:pPr>
      <w:r>
        <w:rPr>
          <w:color w:val="0F1115"/>
          <w:szCs w:val="27"/>
          <w:lang w:val="en-US"/>
        </w:rPr>
        <w:t xml:space="preserve">Циљ </w:t>
      </w:r>
      <w:r>
        <w:rPr>
          <w:i/>
          <w:iCs/>
          <w:color w:val="0F1115"/>
          <w:szCs w:val="27"/>
          <w:lang w:val="en-US"/>
        </w:rPr>
        <w:t>baseline</w:t>
      </w:r>
      <w:r>
        <w:rPr>
          <w:color w:val="0F1115"/>
          <w:szCs w:val="27"/>
          <w:lang w:val="en-US"/>
        </w:rPr>
        <w:t xml:space="preserve"> експеримената је успостављање референтне вредности за задатак класификације става, која ће у наставку бити коришћена за процену успешности сложенијих Transformer приступа. Класификација се врши у три класе: NEUTRAL, ZA-VLAST и PROTIV-VLASTI. Коришћен је скуп dataset_all.txt, који садржи укупно 2874 примера. Расподела примера по класама није равномерна: класа NEUTRAL садржи 668 примера (23,2%), ZA-VLAST 1038 примера (36,1%), док PROTIV-VLASTI садржи 1168 примера (40,6%). Оваква неуравнотеженост је посебно значајна приликом избора евалуационе метрике, јер укупна тачност може дати превише оптимистичну слику успешности модела уколико модел боље препознаје бројније класе.</w:t>
      </w:r>
    </w:p>
    <w:p w14:paraId="41FE36EB" w14:textId="77777777" w:rsidR="00473FAA" w:rsidRPr="00473FAA" w:rsidRDefault="00473FAA" w:rsidP="00473FAA">
      <w:pPr>
        <w:shd w:val="clear" w:color="auto" w:fill="FFFFFF"/>
        <w:spacing w:before="268" w:after="268"/>
        <w:ind w:firstLine="720"/>
        <w:jc w:val="both"/>
        <w:rPr>
          <w:color w:val="0F1115"/>
          <w:szCs w:val="27"/>
          <w:lang w:val="en-US"/>
        </w:rPr>
      </w:pPr>
      <w:r>
        <w:rPr>
          <w:color w:val="0F1115"/>
          <w:szCs w:val="27"/>
          <w:lang w:val="en-US"/>
        </w:rPr>
        <w:t xml:space="preserve">Као baseline модели коришћени су </w:t>
      </w:r>
      <w:r>
        <w:rPr>
          <w:b/>
          <w:bCs/>
          <w:i/>
          <w:iCs/>
          <w:color w:val="0F1115"/>
          <w:szCs w:val="27"/>
          <w:lang w:val="en-US"/>
        </w:rPr>
        <w:t>Multinomial Naive Bayes (NB)</w:t>
      </w:r>
      <w:r>
        <w:rPr>
          <w:color w:val="0F1115"/>
          <w:szCs w:val="27"/>
          <w:lang w:val="sr-Cyrl-RS"/>
        </w:rPr>
        <w:t xml:space="preserve">, </w:t>
      </w:r>
      <w:r>
        <w:rPr>
          <w:b/>
          <w:bCs/>
          <w:i/>
          <w:iCs/>
          <w:color w:val="0F1115"/>
          <w:szCs w:val="27"/>
          <w:lang w:val="en-US"/>
        </w:rPr>
        <w:t>Logistic Regression (LR)</w:t>
      </w:r>
      <w:r>
        <w:rPr>
          <w:i/>
          <w:iCs/>
          <w:color w:val="0F1115"/>
          <w:szCs w:val="27"/>
          <w:lang w:val="sr-Cyrl-RS"/>
        </w:rPr>
        <w:t xml:space="preserve"> </w:t>
      </w:r>
      <w:r>
        <w:rPr>
          <w:color w:val="0F1115"/>
          <w:szCs w:val="27"/>
          <w:lang w:val="sr-Cyrl-RS"/>
        </w:rPr>
        <w:t>и</w:t>
      </w:r>
      <w:r>
        <w:rPr>
          <w:i/>
          <w:iCs/>
          <w:color w:val="0F1115"/>
          <w:szCs w:val="27"/>
          <w:lang w:val="en-US"/>
        </w:rPr>
        <w:t xml:space="preserve"> </w:t>
      </w:r>
      <w:r>
        <w:rPr>
          <w:b/>
          <w:bCs/>
          <w:i/>
          <w:iCs/>
          <w:color w:val="0F1115"/>
          <w:szCs w:val="27"/>
          <w:lang w:val="en-US"/>
        </w:rPr>
        <w:t>Linear Support Vector Machine (SVM)</w:t>
      </w:r>
      <w:r>
        <w:rPr>
          <w:i/>
          <w:iCs/>
          <w:color w:val="0F1115"/>
          <w:szCs w:val="27"/>
          <w:lang w:val="sr-Cyrl-RS"/>
        </w:rPr>
        <w:t xml:space="preserve">. </w:t>
      </w:r>
      <w:r>
        <w:rPr>
          <w:color w:val="0F1115"/>
          <w:szCs w:val="27"/>
          <w:lang w:val="en-US"/>
        </w:rPr>
        <w:t xml:space="preserve">Сва три модела представљају стандардне приступе за класификацију текстуалних података и омогућавају успостављање релативно једноставне, али релевантне референтне тачке за касније поређење са </w:t>
      </w:r>
      <w:r>
        <w:rPr>
          <w:i/>
          <w:iCs/>
          <w:color w:val="0F1115"/>
          <w:szCs w:val="27"/>
          <w:lang w:val="en-US"/>
        </w:rPr>
        <w:t>Transformer</w:t>
      </w:r>
      <w:r>
        <w:rPr>
          <w:color w:val="0F1115"/>
          <w:szCs w:val="27"/>
          <w:lang w:val="en-US"/>
        </w:rPr>
        <w:t xml:space="preserve"> моделима. </w:t>
      </w:r>
      <w:r>
        <w:rPr>
          <w:i/>
          <w:iCs/>
          <w:color w:val="0F1115"/>
          <w:szCs w:val="27"/>
          <w:lang w:val="en-US"/>
        </w:rPr>
        <w:t>Logistic Regression</w:t>
      </w:r>
      <w:r>
        <w:rPr>
          <w:color w:val="0F1115"/>
          <w:szCs w:val="27"/>
          <w:lang w:val="en-US"/>
        </w:rPr>
        <w:t xml:space="preserve"> и </w:t>
      </w:r>
      <w:r>
        <w:rPr>
          <w:i/>
          <w:iCs/>
          <w:color w:val="0F1115"/>
          <w:szCs w:val="27"/>
          <w:lang w:val="en-US"/>
        </w:rPr>
        <w:t>Linear SVM</w:t>
      </w:r>
      <w:r>
        <w:rPr>
          <w:color w:val="0F1115"/>
          <w:szCs w:val="27"/>
          <w:lang w:val="en-US"/>
        </w:rPr>
        <w:t xml:space="preserve"> су погодни за рад са високодимензионалним и ретким текстуалним репрезентацијама, док </w:t>
      </w:r>
      <w:r>
        <w:rPr>
          <w:i/>
          <w:iCs/>
          <w:color w:val="0F1115"/>
          <w:szCs w:val="27"/>
          <w:lang w:val="en-US"/>
        </w:rPr>
        <w:t xml:space="preserve">Multinomial Naive Bayes </w:t>
      </w:r>
      <w:r>
        <w:rPr>
          <w:color w:val="0F1115"/>
          <w:szCs w:val="27"/>
          <w:lang w:val="en-US"/>
        </w:rPr>
        <w:t xml:space="preserve">експлицитно моделује расподелу термина по класама и често се користи као ефикасан </w:t>
      </w:r>
      <w:r>
        <w:rPr>
          <w:i/>
          <w:iCs/>
          <w:color w:val="0F1115"/>
          <w:szCs w:val="27"/>
          <w:lang w:val="en-US"/>
        </w:rPr>
        <w:t>baseline</w:t>
      </w:r>
      <w:r>
        <w:rPr>
          <w:color w:val="0F1115"/>
          <w:szCs w:val="27"/>
          <w:lang w:val="en-US"/>
        </w:rPr>
        <w:t xml:space="preserve"> у задацима текстуалне класификације.</w:t>
      </w:r>
    </w:p>
    <w:p w14:paraId="508DA625" w14:textId="77777777" w:rsidR="00473FAA" w:rsidRDefault="00473FAA" w:rsidP="00473FAA">
      <w:pPr>
        <w:pStyle w:val="Heading3"/>
        <w:rPr>
          <w:rFonts w:ascii="Times New Roman" w:hAnsi="Times New Roman" w:cs="Times New Roman"/>
          <w:color w:val="auto"/>
          <w:sz w:val="32"/>
          <w:lang w:val="sr-Cyrl-RS"/>
        </w:rPr>
      </w:pPr>
      <w:bookmarkStart w:id="16" w:name="_Toc238481658"/>
      <w:r>
        <w:rPr>
          <w:rFonts w:ascii="Times New Roman" w:hAnsi="Times New Roman" w:cs="Times New Roman"/>
          <w:color w:val="auto"/>
          <w:sz w:val="32"/>
          <w:lang w:val="sr-Cyrl-RS"/>
        </w:rPr>
        <w:lastRenderedPageBreak/>
        <w:t>3.1.</w:t>
      </w:r>
      <w:r>
        <w:rPr>
          <w:rFonts w:ascii="Times New Roman" w:hAnsi="Times New Roman" w:cs="Times New Roman"/>
          <w:color w:val="auto"/>
          <w:sz w:val="32"/>
        </w:rPr>
        <w:t>1. Пр</w:t>
      </w:r>
      <w:r>
        <w:rPr>
          <w:rFonts w:ascii="Times New Roman" w:hAnsi="Times New Roman" w:cs="Times New Roman"/>
          <w:color w:val="auto"/>
          <w:sz w:val="32"/>
          <w:lang w:val="sr-Cyrl-RS"/>
        </w:rPr>
        <w:t>етпроцесирање и репрезентација текста</w:t>
      </w:r>
      <w:bookmarkEnd w:id="16"/>
    </w:p>
    <w:p w14:paraId="652BABEF" w14:textId="77777777" w:rsidR="00473FAA" w:rsidRDefault="00473FAA" w:rsidP="00473FAA">
      <w:pPr>
        <w:rPr>
          <w:lang w:val="sr-Cyrl-RS"/>
        </w:rPr>
      </w:pPr>
    </w:p>
    <w:p w14:paraId="576FEF80" w14:textId="77777777" w:rsidR="00473FAA" w:rsidRDefault="00473FAA" w:rsidP="00473FAA">
      <w:pPr>
        <w:ind w:firstLine="720"/>
        <w:jc w:val="both"/>
        <w:rPr>
          <w:lang w:val="sr-Cyrl-RS"/>
        </w:rPr>
      </w:pPr>
      <w:r>
        <w:rPr>
          <w:lang w:val="en-US"/>
        </w:rPr>
        <w:t xml:space="preserve">За разлику од једног унапред дефинисаног </w:t>
      </w:r>
      <w:r>
        <w:rPr>
          <w:i/>
          <w:iCs/>
          <w:lang w:val="en-US"/>
        </w:rPr>
        <w:t>baseline</w:t>
      </w:r>
      <w:r>
        <w:rPr>
          <w:lang w:val="en-US"/>
        </w:rPr>
        <w:t xml:space="preserve"> модела, у експериментима је испитан и утицај различитих начина представљања и претпроцесирања текста. Разматране су три врсте пондерисања термина: </w:t>
      </w:r>
      <w:r>
        <w:rPr>
          <w:b/>
          <w:bCs/>
          <w:lang w:val="en-US"/>
        </w:rPr>
        <w:t>TF</w:t>
      </w:r>
      <w:r>
        <w:rPr>
          <w:lang w:val="en-US"/>
        </w:rPr>
        <w:t xml:space="preserve">, </w:t>
      </w:r>
      <w:r>
        <w:rPr>
          <w:b/>
          <w:bCs/>
          <w:lang w:val="en-US"/>
        </w:rPr>
        <w:t>IDF</w:t>
      </w:r>
      <w:r>
        <w:rPr>
          <w:lang w:val="en-US"/>
        </w:rPr>
        <w:t xml:space="preserve"> и </w:t>
      </w:r>
      <w:r>
        <w:rPr>
          <w:b/>
          <w:bCs/>
          <w:lang w:val="en-US"/>
        </w:rPr>
        <w:t>TF-IDF</w:t>
      </w:r>
      <w:r>
        <w:rPr>
          <w:lang w:val="en-US"/>
        </w:rPr>
        <w:t>. На тај начин је омогућено да се утврди да ли је TF-IDF, који се често користи као стандардна репрезентација у текстуалној класификацији, заиста најпогоднији избор за посматрани скуп података.</w:t>
      </w:r>
    </w:p>
    <w:p w14:paraId="7C43EF1E" w14:textId="77777777" w:rsidR="00756EF2" w:rsidRPr="00756EF2" w:rsidRDefault="00756EF2" w:rsidP="00473FAA">
      <w:pPr>
        <w:ind w:firstLine="720"/>
        <w:jc w:val="both"/>
        <w:rPr>
          <w:lang w:val="sr-Cyrl-RS"/>
        </w:rPr>
      </w:pPr>
    </w:p>
    <w:p w14:paraId="55394822" w14:textId="77777777" w:rsidR="00473FAA" w:rsidRDefault="00473FAA" w:rsidP="00473FAA">
      <w:pPr>
        <w:ind w:firstLine="720"/>
        <w:jc w:val="both"/>
        <w:rPr>
          <w:lang w:val="sr-Cyrl-RS"/>
        </w:rPr>
      </w:pPr>
      <w:r>
        <w:rPr>
          <w:lang w:val="en-US"/>
        </w:rPr>
        <w:t xml:space="preserve">Поред пондерисања, испитиван је и утицај </w:t>
      </w:r>
      <w:r>
        <w:rPr>
          <w:b/>
          <w:bCs/>
          <w:lang w:val="en-US"/>
        </w:rPr>
        <w:t>lowercasing-а</w:t>
      </w:r>
      <w:r>
        <w:rPr>
          <w:lang w:val="en-US"/>
        </w:rPr>
        <w:t>, као и нормализације токена. За нормализацију су разматране три варијанте: без нормализације (</w:t>
      </w:r>
      <w:r>
        <w:rPr>
          <w:i/>
          <w:iCs/>
          <w:lang w:val="en-US"/>
        </w:rPr>
        <w:t>none</w:t>
      </w:r>
      <w:r>
        <w:rPr>
          <w:lang w:val="en-US"/>
        </w:rPr>
        <w:t xml:space="preserve">), </w:t>
      </w:r>
      <w:r>
        <w:rPr>
          <w:i/>
          <w:iCs/>
          <w:lang w:val="en-US"/>
        </w:rPr>
        <w:t>stemming</w:t>
      </w:r>
      <w:r>
        <w:rPr>
          <w:lang w:val="en-US"/>
        </w:rPr>
        <w:t xml:space="preserve"> (</w:t>
      </w:r>
      <w:r>
        <w:rPr>
          <w:i/>
          <w:iCs/>
          <w:lang w:val="en-US"/>
        </w:rPr>
        <w:t>stem</w:t>
      </w:r>
      <w:r>
        <w:rPr>
          <w:lang w:val="en-US"/>
        </w:rPr>
        <w:t xml:space="preserve">) и </w:t>
      </w:r>
      <w:r>
        <w:rPr>
          <w:i/>
          <w:iCs/>
          <w:lang w:val="en-US"/>
        </w:rPr>
        <w:t>lemmatization</w:t>
      </w:r>
      <w:r>
        <w:rPr>
          <w:lang w:val="en-US"/>
        </w:rPr>
        <w:t xml:space="preserve"> (</w:t>
      </w:r>
      <w:r>
        <w:rPr>
          <w:i/>
          <w:iCs/>
          <w:lang w:val="en-US"/>
        </w:rPr>
        <w:t>lemma</w:t>
      </w:r>
      <w:r>
        <w:rPr>
          <w:lang w:val="en-US"/>
        </w:rPr>
        <w:t xml:space="preserve">). Комбиновањем ових фактора добијено је укупно 54 конфигурације, односно </w:t>
      </w:r>
      <w:r>
        <w:rPr>
          <w:lang w:val="sr-Cyrl-RS"/>
        </w:rPr>
        <w:t>3</w:t>
      </w:r>
      <w:r>
        <w:rPr>
          <w:lang w:val="en-US"/>
        </w:rPr>
        <w:t>*3*2*3. На овај начин експеримент није усмерен само на избор најбољег класификатора, већ и на утврђивање утицаја различитих начина припреме текстуалних података.</w:t>
      </w:r>
    </w:p>
    <w:p w14:paraId="11913278" w14:textId="77777777" w:rsidR="00756EF2" w:rsidRPr="00756EF2" w:rsidRDefault="00756EF2" w:rsidP="00473FAA">
      <w:pPr>
        <w:ind w:firstLine="720"/>
        <w:jc w:val="both"/>
        <w:rPr>
          <w:lang w:val="sr-Cyrl-RS"/>
        </w:rPr>
      </w:pPr>
    </w:p>
    <w:p w14:paraId="0A49F193" w14:textId="77777777" w:rsidR="005F5021" w:rsidRDefault="00473FAA" w:rsidP="00473FAA">
      <w:pPr>
        <w:ind w:firstLine="720"/>
        <w:jc w:val="both"/>
        <w:rPr>
          <w:lang w:val="sr-Cyrl-RS"/>
        </w:rPr>
      </w:pPr>
      <w:r>
        <w:rPr>
          <w:lang w:val="en-US"/>
        </w:rPr>
        <w:t xml:space="preserve">Резултати показују да је </w:t>
      </w:r>
      <w:r>
        <w:rPr>
          <w:b/>
          <w:bCs/>
          <w:i/>
          <w:iCs/>
          <w:lang w:val="en-US"/>
        </w:rPr>
        <w:t>stemming</w:t>
      </w:r>
      <w:r>
        <w:rPr>
          <w:lang w:val="en-US"/>
        </w:rPr>
        <w:t xml:space="preserve"> имао најбољи просечан резултат међу разматраним стратегијама нормализације.</w:t>
      </w:r>
      <w:r>
        <w:rPr>
          <w:lang w:val="sr-Cyrl-RS"/>
        </w:rPr>
        <w:t xml:space="preserve"> </w:t>
      </w:r>
      <w:r>
        <w:t xml:space="preserve">За </w:t>
      </w:r>
      <w:r>
        <w:rPr>
          <w:i/>
          <w:iCs/>
        </w:rPr>
        <w:t>stemming</w:t>
      </w:r>
      <w:r>
        <w:t xml:space="preserve"> је коришћен сопствени, једноставан rule-based stemmer за српски јези</w:t>
      </w:r>
      <w:r>
        <w:rPr>
          <w:b/>
          <w:bCs/>
        </w:rPr>
        <w:t>к</w:t>
      </w:r>
      <w:r>
        <w:t>, заснован на ручно дефинисаној листи често коришћених суфикса.</w:t>
      </w:r>
      <w:r>
        <w:rPr>
          <w:lang w:val="en-US"/>
        </w:rPr>
        <w:t xml:space="preserve"> </w:t>
      </w:r>
      <w:r>
        <w:t xml:space="preserve">Листа обухвата суфиксе </w:t>
      </w:r>
      <w:r>
        <w:rPr>
          <w:i/>
          <w:iCs/>
        </w:rPr>
        <w:t>-ijama, -ovima, -evima, -ama, -ima, -ome, -oga, -emu, -ovi, -evi, -ski, -ska, -sko, -ost, -anja, -anje, -iti, -ati, -eti, -uti, -om, -em, -im, -og, -eg, -ih, -u, -e, -a, -i и -o</w:t>
      </w:r>
      <w:r>
        <w:t xml:space="preserve">. Суфикси су сортирани по дужини у опадајућем редоследу, како би се прво проверавали дужи наставци. При обради се реч најпре пребацује у мала слова, након чега се проверава да ли се завршава неким од наведених суфикса. Суфикс се уклања само уколико након његовог уклањања остају најмање три карактера основе. </w:t>
      </w:r>
    </w:p>
    <w:p w14:paraId="51C54EEC" w14:textId="77777777" w:rsidR="00473FAA" w:rsidRDefault="00473FAA" w:rsidP="00473FAA">
      <w:pPr>
        <w:ind w:firstLine="720"/>
        <w:jc w:val="both"/>
        <w:rPr>
          <w:lang w:val="sr-Cyrl-RS"/>
        </w:rPr>
      </w:pPr>
      <w:r>
        <w:rPr>
          <w:lang w:val="en-US"/>
        </w:rPr>
        <w:t xml:space="preserve">Просечан macro-F1 за </w:t>
      </w:r>
      <w:r>
        <w:rPr>
          <w:i/>
          <w:iCs/>
          <w:lang w:val="en-US"/>
        </w:rPr>
        <w:t>stem</w:t>
      </w:r>
      <w:r>
        <w:rPr>
          <w:lang w:val="en-US"/>
        </w:rPr>
        <w:t xml:space="preserve"> износио је 0,5379, док су </w:t>
      </w:r>
      <w:r>
        <w:rPr>
          <w:i/>
          <w:iCs/>
          <w:lang w:val="en-US"/>
        </w:rPr>
        <w:t>lemma</w:t>
      </w:r>
      <w:r>
        <w:rPr>
          <w:lang w:val="en-US"/>
        </w:rPr>
        <w:t xml:space="preserve"> и </w:t>
      </w:r>
      <w:r>
        <w:rPr>
          <w:i/>
          <w:iCs/>
          <w:lang w:val="en-US"/>
        </w:rPr>
        <w:t>none</w:t>
      </w:r>
      <w:r>
        <w:rPr>
          <w:lang w:val="en-US"/>
        </w:rPr>
        <w:t xml:space="preserve"> остварили 0,5125 и 0,5004. Овај резултат указује да свођење сродних облика речи на заједничку основу може бити корисно за кратке коментаре на српском, односно BCMS језичком простору. Додатно, </w:t>
      </w:r>
      <w:r>
        <w:rPr>
          <w:i/>
          <w:iCs/>
          <w:lang w:val="en-US"/>
        </w:rPr>
        <w:t>lowercasing</w:t>
      </w:r>
      <w:r>
        <w:rPr>
          <w:lang w:val="en-US"/>
        </w:rPr>
        <w:t xml:space="preserve"> је у просеку такође имао позитиван ефекат: конфигурације са укљученим </w:t>
      </w:r>
      <w:r>
        <w:rPr>
          <w:i/>
          <w:iCs/>
          <w:lang w:val="en-US"/>
        </w:rPr>
        <w:t>lowercasing</w:t>
      </w:r>
      <w:r>
        <w:rPr>
          <w:lang w:val="en-US"/>
        </w:rPr>
        <w:t>-ом оствариле су просечан macro-F1 од 0,5210, у поређењу са 0,5129 код конфигурација без њега.</w:t>
      </w:r>
    </w:p>
    <w:p w14:paraId="19718842" w14:textId="77777777" w:rsidR="00756EF2" w:rsidRPr="00756EF2" w:rsidRDefault="00756EF2" w:rsidP="00473FAA">
      <w:pPr>
        <w:ind w:firstLine="720"/>
        <w:jc w:val="both"/>
        <w:rPr>
          <w:lang w:val="sr-Cyrl-RS"/>
        </w:rPr>
      </w:pPr>
    </w:p>
    <w:p w14:paraId="3384FB42" w14:textId="77777777" w:rsidR="00473FAA" w:rsidRPr="00473FAA" w:rsidRDefault="00473FAA" w:rsidP="00473FAA">
      <w:pPr>
        <w:ind w:firstLine="720"/>
        <w:jc w:val="both"/>
        <w:rPr>
          <w:lang w:val="en-US"/>
        </w:rPr>
      </w:pPr>
      <w:r>
        <w:rPr>
          <w:lang w:val="en-US"/>
        </w:rPr>
        <w:t xml:space="preserve">Занимљив резултат добијен је код пондерисања термина. Најбољи просечан резултат остварен је употребом </w:t>
      </w:r>
      <w:r>
        <w:rPr>
          <w:b/>
          <w:bCs/>
          <w:lang w:val="en-US"/>
        </w:rPr>
        <w:t>TF</w:t>
      </w:r>
      <w:r>
        <w:rPr>
          <w:lang w:val="en-US"/>
        </w:rPr>
        <w:t xml:space="preserve"> репрезентације (0,5217), затим IDF (0,5158), док је TF-IDF имао најнижи просечан macro-F1 од 0,5132. Ово показује да TF-IDF није нужно оптималан избор за сваки задатак текстуалне класификације. Код кратких коментара, сама учесталост термина може садржати корисну информацију о ставу, док додатно потискивање често присутних речи кроз IDF пондерисање не мора нужно да доведе до побољшања резултата.</w:t>
      </w:r>
    </w:p>
    <w:p w14:paraId="0FA7DE0F" w14:textId="77777777" w:rsidR="00473FAA" w:rsidRPr="00473FAA" w:rsidRDefault="00473FAA" w:rsidP="00473FAA">
      <w:pPr>
        <w:rPr>
          <w:lang w:val="sr-Cyrl-RS"/>
        </w:rPr>
      </w:pPr>
    </w:p>
    <w:p w14:paraId="35FE9913" w14:textId="77777777" w:rsidR="00473FAA" w:rsidRDefault="00473FAA" w:rsidP="00473FAA">
      <w:pPr>
        <w:pStyle w:val="Heading3"/>
        <w:rPr>
          <w:rFonts w:ascii="Times New Roman" w:hAnsi="Times New Roman" w:cs="Times New Roman"/>
          <w:color w:val="auto"/>
          <w:sz w:val="32"/>
          <w:lang w:val="sr-Cyrl-RS"/>
        </w:rPr>
      </w:pPr>
      <w:bookmarkStart w:id="17" w:name="_Toc238481659"/>
      <w:r>
        <w:rPr>
          <w:rFonts w:ascii="Times New Roman" w:hAnsi="Times New Roman" w:cs="Times New Roman"/>
          <w:color w:val="auto"/>
          <w:sz w:val="32"/>
          <w:lang w:val="sr-Cyrl-RS"/>
        </w:rPr>
        <w:t>3.1.</w:t>
      </w:r>
      <w:r>
        <w:rPr>
          <w:rFonts w:ascii="Times New Roman" w:hAnsi="Times New Roman" w:cs="Times New Roman"/>
          <w:color w:val="auto"/>
          <w:sz w:val="32"/>
        </w:rPr>
        <w:t xml:space="preserve">2. </w:t>
      </w:r>
      <w:r>
        <w:rPr>
          <w:rFonts w:ascii="Times New Roman" w:hAnsi="Times New Roman" w:cs="Times New Roman"/>
          <w:color w:val="auto"/>
          <w:sz w:val="32"/>
          <w:lang w:val="sr-Cyrl-RS"/>
        </w:rPr>
        <w:t>Евалуација</w:t>
      </w:r>
      <w:bookmarkEnd w:id="17"/>
    </w:p>
    <w:p w14:paraId="03434D84" w14:textId="77777777" w:rsidR="00473FAA" w:rsidRDefault="00473FAA" w:rsidP="00473FAA">
      <w:pPr>
        <w:rPr>
          <w:lang w:val="sr-Cyrl-RS"/>
        </w:rPr>
      </w:pPr>
    </w:p>
    <w:p w14:paraId="48016BBD" w14:textId="77777777" w:rsidR="00473FAA" w:rsidRDefault="00473FAA" w:rsidP="00473FAA">
      <w:pPr>
        <w:jc w:val="both"/>
        <w:rPr>
          <w:lang w:val="sr-Cyrl-RS"/>
        </w:rPr>
      </w:pPr>
      <w:r>
        <w:rPr>
          <w:lang w:val="sr-Cyrl-RS"/>
        </w:rPr>
        <w:tab/>
      </w:r>
      <w:r>
        <w:rPr>
          <w:lang w:val="en-US"/>
        </w:rPr>
        <w:t xml:space="preserve">За евалуацију </w:t>
      </w:r>
      <w:r>
        <w:rPr>
          <w:i/>
          <w:iCs/>
          <w:lang w:val="en-US"/>
        </w:rPr>
        <w:t>baseline</w:t>
      </w:r>
      <w:r>
        <w:rPr>
          <w:lang w:val="en-US"/>
        </w:rPr>
        <w:t xml:space="preserve"> модела коришћена је </w:t>
      </w:r>
      <w:r>
        <w:rPr>
          <w:b/>
          <w:bCs/>
          <w:lang w:val="en-US"/>
        </w:rPr>
        <w:t>угнежђена стратификована унакрсна валидација (</w:t>
      </w:r>
      <w:r>
        <w:rPr>
          <w:b/>
          <w:bCs/>
          <w:i/>
          <w:iCs/>
          <w:lang w:val="en-US"/>
        </w:rPr>
        <w:t>nested stratified cross-validation</w:t>
      </w:r>
      <w:r>
        <w:rPr>
          <w:b/>
          <w:bCs/>
          <w:lang w:val="en-US"/>
        </w:rPr>
        <w:t>)</w:t>
      </w:r>
      <w:r>
        <w:rPr>
          <w:lang w:val="en-US"/>
        </w:rPr>
        <w:t xml:space="preserve">. Спољашњи део валидације састојао се од 10 fold-ова, док су унутрашњи fold-ови коришћени за избор хиперпараметара. Овакав приступ омогућава одвајање процеса избора хиперпараметара од коначне процене модела </w:t>
        <w:lastRenderedPageBreak/>
        <w:t>и тиме смањује ризик од оптимистичке процене перформанси услед прилагођавања модела евалуационим подацима.</w:t>
      </w:r>
    </w:p>
    <w:p w14:paraId="798F00A2" w14:textId="77777777" w:rsidR="00756EF2" w:rsidRPr="00756EF2" w:rsidRDefault="00756EF2" w:rsidP="00473FAA">
      <w:pPr>
        <w:jc w:val="both"/>
        <w:rPr>
          <w:lang w:val="sr-Cyrl-RS"/>
        </w:rPr>
      </w:pPr>
    </w:p>
    <w:p w14:paraId="7E1848EC" w14:textId="77777777" w:rsidR="00473FAA" w:rsidRDefault="00473FAA" w:rsidP="00473FAA">
      <w:pPr>
        <w:ind w:firstLine="720"/>
        <w:jc w:val="both"/>
        <w:rPr>
          <w:lang w:val="en-US"/>
        </w:rPr>
      </w:pPr>
      <w:r>
        <w:rPr>
          <w:lang w:val="en-US"/>
        </w:rPr>
        <w:t xml:space="preserve">За </w:t>
      </w:r>
      <w:r>
        <w:rPr>
          <w:i/>
          <w:iCs/>
          <w:lang w:val="en-US"/>
        </w:rPr>
        <w:t>Logistic Regression</w:t>
      </w:r>
      <w:r>
        <w:rPr>
          <w:lang w:val="en-US"/>
        </w:rPr>
        <w:t xml:space="preserve"> и </w:t>
      </w:r>
      <w:r>
        <w:rPr>
          <w:i/>
          <w:iCs/>
          <w:lang w:val="en-US"/>
        </w:rPr>
        <w:t>Linear SVM</w:t>
      </w:r>
      <w:r>
        <w:rPr>
          <w:lang w:val="en-US"/>
        </w:rPr>
        <w:t xml:space="preserve"> разматране су вредности параметра C</w:t>
      </w:r>
      <w:r>
        <w:rPr>
          <w:rFonts w:ascii="Cambria Math" w:hAnsi="Cambria Math" w:cs="Cambria Math"/>
        </w:rPr>
        <w:t>∈</w:t>
      </w:r>
      <w:r>
        <w:rPr>
          <w:lang w:val="en-US"/>
        </w:rPr>
        <w:t xml:space="preserve">{0.1,1.0,10.0}, док су за </w:t>
      </w:r>
      <w:r>
        <w:rPr>
          <w:i/>
          <w:iCs/>
          <w:lang w:val="en-US"/>
        </w:rPr>
        <w:t>Multinomial Naive Bayes</w:t>
      </w:r>
      <w:r>
        <w:rPr>
          <w:lang w:val="en-US"/>
        </w:rPr>
        <w:t xml:space="preserve"> испитиване вредности </w:t>
      </w:r>
      <w:r>
        <w:t>α</w:t>
      </w:r>
      <w:r>
        <w:rPr>
          <w:rFonts w:ascii="Cambria Math" w:hAnsi="Cambria Math" w:cs="Cambria Math"/>
        </w:rPr>
        <w:t>∈{10.1,0.5,1.0}</w:t>
      </w:r>
      <w:r>
        <w:rPr>
          <w:lang w:val="en-US"/>
        </w:rPr>
        <w:t xml:space="preserve">. Приликом евалуације пријављени су </w:t>
      </w:r>
      <w:r>
        <w:rPr>
          <w:b/>
          <w:bCs/>
          <w:i/>
          <w:iCs/>
          <w:lang w:val="en-US"/>
        </w:rPr>
        <w:t>accuracy</w:t>
      </w:r>
      <w:r>
        <w:rPr>
          <w:i/>
          <w:iCs/>
          <w:lang w:val="en-US"/>
        </w:rPr>
        <w:t xml:space="preserve">, </w:t>
      </w:r>
      <w:r>
        <w:rPr>
          <w:b/>
          <w:bCs/>
          <w:i/>
          <w:iCs/>
          <w:lang w:val="en-US"/>
        </w:rPr>
        <w:t>macro-F1</w:t>
      </w:r>
      <w:r>
        <w:rPr>
          <w:i/>
          <w:iCs/>
          <w:lang w:val="en-US"/>
        </w:rPr>
        <w:t xml:space="preserve">, </w:t>
      </w:r>
      <w:r>
        <w:rPr>
          <w:b/>
          <w:bCs/>
          <w:i/>
          <w:iCs/>
          <w:lang w:val="en-US"/>
        </w:rPr>
        <w:t>weighted-F1</w:t>
      </w:r>
      <w:r>
        <w:rPr>
          <w:lang w:val="en-US"/>
        </w:rPr>
        <w:t>, као и F1 резултат за сваку појединачну класу. Као главна метрика изабран је macro-F1, јер равноправно третира све три класе и самим тим пружа прикладнију меру перформанси на неуравнотеженом скупу.</w:t>
      </w:r>
    </w:p>
    <w:p w14:paraId="04B29287" w14:textId="77777777" w:rsidR="007E1678" w:rsidRPr="00473FAA" w:rsidRDefault="007E1678" w:rsidP="00473FAA">
      <w:pPr>
        <w:ind w:firstLine="720"/>
        <w:jc w:val="both"/>
        <w:rPr>
          <w:lang w:val="en-US"/>
        </w:rPr>
      </w:pPr>
    </w:p>
    <w:p w14:paraId="51AC0435" w14:textId="77777777" w:rsidR="00473FAA" w:rsidRPr="00473FAA" w:rsidRDefault="00473FAA" w:rsidP="00473FAA">
      <w:pPr>
        <w:rPr>
          <w:lang w:val="sr-Cyrl-RS"/>
        </w:rPr>
      </w:pPr>
    </w:p>
    <w:p w14:paraId="4F2A43D0" w14:textId="77777777" w:rsidR="00473FAA" w:rsidRDefault="00473FAA" w:rsidP="00473FAA">
      <w:pPr>
        <w:pStyle w:val="Heading3"/>
        <w:rPr>
          <w:rFonts w:ascii="Times New Roman" w:hAnsi="Times New Roman" w:cs="Times New Roman"/>
          <w:color w:val="auto"/>
          <w:sz w:val="32"/>
          <w:lang w:val="sr-Cyrl-RS"/>
        </w:rPr>
      </w:pPr>
      <w:bookmarkStart w:id="18" w:name="_Toc238481660"/>
      <w:r>
        <w:rPr>
          <w:rFonts w:ascii="Times New Roman" w:hAnsi="Times New Roman" w:cs="Times New Roman"/>
          <w:color w:val="auto"/>
          <w:sz w:val="32"/>
          <w:lang w:val="sr-Cyrl-RS"/>
        </w:rPr>
        <w:t>3.1.</w:t>
      </w:r>
      <w:r>
        <w:rPr>
          <w:rFonts w:ascii="Times New Roman" w:hAnsi="Times New Roman" w:cs="Times New Roman"/>
          <w:color w:val="auto"/>
          <w:sz w:val="32"/>
        </w:rPr>
        <w:t xml:space="preserve">3. </w:t>
      </w:r>
      <w:r>
        <w:rPr>
          <w:rFonts w:ascii="Times New Roman" w:hAnsi="Times New Roman" w:cs="Times New Roman"/>
          <w:color w:val="auto"/>
          <w:sz w:val="32"/>
          <w:lang w:val="sr-Cyrl-RS"/>
        </w:rPr>
        <w:t>Резултати</w:t>
      </w:r>
      <w:bookmarkEnd w:id="18"/>
    </w:p>
    <w:p w14:paraId="2378653F" w14:textId="77777777" w:rsidR="00756EF2" w:rsidRPr="00756EF2" w:rsidRDefault="00756EF2" w:rsidP="00756EF2">
      <w:pPr>
        <w:rPr>
          <w:lang w:val="sr-Cyrl-RS"/>
        </w:rPr>
      </w:pPr>
    </w:p>
    <w:p w14:paraId="5CD0DDD4" w14:textId="77777777" w:rsidR="007E1678" w:rsidRPr="004D5CD3" w:rsidRDefault="00473FAA" w:rsidP="004D5CD3">
      <w:pPr>
        <w:ind w:firstLine="720"/>
        <w:jc w:val="both"/>
        <w:rPr>
          <w:lang w:val="sr-Cyrl-RS"/>
        </w:rPr>
      </w:pPr>
      <w:r>
        <w:rPr>
          <w:lang w:val="en-US"/>
        </w:rPr>
        <w:t xml:space="preserve">Најбољу конфигурацију остварила је </w:t>
      </w:r>
      <w:r>
        <w:rPr>
          <w:b/>
          <w:bCs/>
          <w:lang w:val="en-US"/>
        </w:rPr>
        <w:t>Logistic Regression</w:t>
      </w:r>
      <w:r>
        <w:rPr>
          <w:lang w:val="en-US"/>
        </w:rPr>
        <w:t xml:space="preserve"> са </w:t>
      </w:r>
      <w:r>
        <w:rPr>
          <w:b/>
          <w:bCs/>
          <w:lang w:val="en-US"/>
        </w:rPr>
        <w:t>TF</w:t>
      </w:r>
      <w:r>
        <w:rPr>
          <w:lang w:val="en-US"/>
        </w:rPr>
        <w:t xml:space="preserve"> пондерисањем, укљученим lowercasing-ом и stemming-ом, </w:t>
      </w:r>
      <w:r>
        <w:rPr>
          <w:lang w:val="sr-Cyrl-RS"/>
        </w:rPr>
        <w:t xml:space="preserve">уз вредност </w:t>
      </w:r>
      <w:r>
        <w:rPr>
          <w:lang w:val="en-US"/>
        </w:rPr>
        <w:t xml:space="preserve">C=1.0. Ова конфигурација је остварила </w:t>
      </w:r>
      <w:r>
        <w:rPr>
          <w:b/>
          <w:bCs/>
          <w:lang w:val="en-US"/>
        </w:rPr>
        <w:t>macro-F1 од 0,5532</w:t>
      </w:r>
      <w:r>
        <w:rPr>
          <w:lang w:val="en-US"/>
        </w:rPr>
        <w:t>, accuracy од 0,5825 и weighted-F1 од 0,5791.</w:t>
      </w:r>
      <w:r>
        <w:rPr>
          <w:lang w:val="sr-Cyrl-RS"/>
        </w:rPr>
        <w:t xml:space="preserve"> Резултати су приказани у Табели 3.1.</w:t>
      </w:r>
    </w:p>
    <w:p w14:paraId="53DAF3D8" w14:textId="77777777" w:rsidR="00756EF2" w:rsidRPr="007E1678" w:rsidRDefault="00756EF2" w:rsidP="00473FAA">
      <w:pPr>
        <w:ind w:firstLine="720"/>
        <w:jc w:val="both"/>
        <w:rPr>
          <w:lang w:val="en-US"/>
        </w:rPr>
      </w:pPr>
    </w:p>
    <w:p w14:paraId="11C9798B" w14:textId="77777777" w:rsidR="00473FAA" w:rsidRPr="00767836" w:rsidRDefault="00473FAA" w:rsidP="00473FAA">
      <w:pPr>
        <w:jc w:val="center"/>
        <w:rPr>
          <w:lang w:val="sr-Cyrl-RS"/>
        </w:rPr>
      </w:pPr>
      <w:r>
        <w:rPr>
          <w:lang w:val="sr-Cyrl-RS"/>
        </w:rPr>
        <w:t xml:space="preserve">Табела 3.1 Резултати најбоље </w:t>
      </w:r>
      <w:r>
        <w:rPr>
          <w:i/>
          <w:iCs/>
          <w:lang w:val="en-US"/>
        </w:rPr>
        <w:t>baseline</w:t>
      </w:r>
      <w:r>
        <w:rPr>
          <w:lang w:val="en-US"/>
        </w:rPr>
        <w:t xml:space="preserve"> </w:t>
      </w:r>
      <w:r>
        <w:rPr>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3EBB5088"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487553" w14:textId="77777777" w:rsidR="00473FAA" w:rsidRPr="00473FAA" w:rsidRDefault="00473FAA" w:rsidP="00473FAA">
            <w:pPr>
              <w:jc w:val="both"/>
              <w:rPr>
                <w:b w:val="0"/>
                <w:bCs w:val="0"/>
                <w:lang w:val="en-US"/>
              </w:rPr>
            </w:pPr>
            <w:r>
              <w:rPr>
                <w:lang w:val="en-US"/>
              </w:rPr>
              <w:t>Метрика</w:t>
            </w:r>
          </w:p>
        </w:tc>
        <w:tc>
          <w:tcPr>
            <w:tcW w:w="0" w:type="auto"/>
            <w:hideMark/>
          </w:tcPr>
          <w:p w14:paraId="6BC9FB51"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r>
              <w:rPr>
                <w:lang w:val="en-US"/>
              </w:rPr>
              <w:t>Резултат</w:t>
            </w:r>
          </w:p>
        </w:tc>
      </w:tr>
      <w:tr w:rsidR="00473FAA" w:rsidRPr="00473FAA" w14:paraId="210444F6"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0D3FDB" w14:textId="77777777" w:rsidR="00473FAA" w:rsidRPr="00473FAA" w:rsidRDefault="00473FAA" w:rsidP="00473FAA">
            <w:pPr>
              <w:jc w:val="both"/>
              <w:rPr>
                <w:lang w:val="en-US"/>
              </w:rPr>
            </w:pPr>
            <w:r>
              <w:rPr>
                <w:lang w:val="en-US"/>
              </w:rPr>
              <w:t>Macro-F1</w:t>
            </w:r>
          </w:p>
        </w:tc>
        <w:tc>
          <w:tcPr>
            <w:tcW w:w="0" w:type="auto"/>
            <w:hideMark/>
          </w:tcPr>
          <w:p w14:paraId="1E579538"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b/>
                <w:bCs/>
                <w:lang w:val="en-US"/>
              </w:rPr>
              <w:t>0,5532</w:t>
            </w:r>
          </w:p>
        </w:tc>
      </w:tr>
      <w:tr w:rsidR="00473FAA" w:rsidRPr="00473FAA" w14:paraId="0B07288E"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D64D03" w14:textId="77777777" w:rsidR="00473FAA" w:rsidRPr="00473FAA" w:rsidRDefault="00473FAA" w:rsidP="00473FAA">
            <w:pPr>
              <w:jc w:val="both"/>
              <w:rPr>
                <w:lang w:val="en-US"/>
              </w:rPr>
            </w:pPr>
            <w:r>
              <w:rPr>
                <w:lang w:val="en-US"/>
              </w:rPr>
              <w:t>Accuracy</w:t>
            </w:r>
          </w:p>
        </w:tc>
        <w:tc>
          <w:tcPr>
            <w:tcW w:w="0" w:type="auto"/>
            <w:hideMark/>
          </w:tcPr>
          <w:p w14:paraId="2755360C"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0,5825</w:t>
            </w:r>
          </w:p>
        </w:tc>
      </w:tr>
      <w:tr w:rsidR="00473FAA" w:rsidRPr="00473FAA" w14:paraId="13A2CDC7"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79EC" w14:textId="77777777" w:rsidR="00473FAA" w:rsidRPr="00473FAA" w:rsidRDefault="00473FAA" w:rsidP="00473FAA">
            <w:pPr>
              <w:jc w:val="both"/>
              <w:rPr>
                <w:lang w:val="en-US"/>
              </w:rPr>
            </w:pPr>
            <w:r>
              <w:rPr>
                <w:lang w:val="en-US"/>
              </w:rPr>
              <w:t>Weighted-F1</w:t>
            </w:r>
          </w:p>
        </w:tc>
        <w:tc>
          <w:tcPr>
            <w:tcW w:w="0" w:type="auto"/>
            <w:hideMark/>
          </w:tcPr>
          <w:p w14:paraId="49711E43"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0,5791</w:t>
            </w:r>
          </w:p>
        </w:tc>
      </w:tr>
      <w:tr w:rsidR="00473FAA" w:rsidRPr="00473FAA" w14:paraId="5088283B"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BD122C" w14:textId="77777777" w:rsidR="00473FAA" w:rsidRPr="00473FAA" w:rsidRDefault="00473FAA" w:rsidP="00473FAA">
            <w:pPr>
              <w:jc w:val="both"/>
              <w:rPr>
                <w:lang w:val="en-US"/>
              </w:rPr>
            </w:pPr>
            <w:r>
              <w:rPr>
                <w:lang w:val="en-US"/>
              </w:rPr>
              <w:t>F1 — NEUTRAL</w:t>
            </w:r>
          </w:p>
        </w:tc>
        <w:tc>
          <w:tcPr>
            <w:tcW w:w="0" w:type="auto"/>
            <w:hideMark/>
          </w:tcPr>
          <w:p w14:paraId="5B6F1BBE"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0,3806</w:t>
            </w:r>
          </w:p>
        </w:tc>
      </w:tr>
      <w:tr w:rsidR="00473FAA" w:rsidRPr="00473FAA" w14:paraId="20C82E27"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7C41F8" w14:textId="77777777" w:rsidR="00473FAA" w:rsidRPr="00473FAA" w:rsidRDefault="00473FAA" w:rsidP="00473FAA">
            <w:pPr>
              <w:jc w:val="both"/>
              <w:rPr>
                <w:lang w:val="en-US"/>
              </w:rPr>
            </w:pPr>
            <w:r>
              <w:rPr>
                <w:lang w:val="en-US"/>
              </w:rPr>
              <w:t>F1 — ZA-VLAST</w:t>
            </w:r>
          </w:p>
        </w:tc>
        <w:tc>
          <w:tcPr>
            <w:tcW w:w="0" w:type="auto"/>
            <w:hideMark/>
          </w:tcPr>
          <w:p w14:paraId="43FB751A"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0,6451</w:t>
            </w:r>
          </w:p>
        </w:tc>
      </w:tr>
      <w:tr w:rsidR="00473FAA" w:rsidRPr="00473FAA" w14:paraId="3656B3F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9F617D" w14:textId="77777777" w:rsidR="00473FAA" w:rsidRPr="00473FAA" w:rsidRDefault="00473FAA" w:rsidP="00473FAA">
            <w:pPr>
              <w:jc w:val="both"/>
              <w:rPr>
                <w:lang w:val="en-US"/>
              </w:rPr>
            </w:pPr>
            <w:r>
              <w:rPr>
                <w:lang w:val="en-US"/>
              </w:rPr>
              <w:t>F1 — PROTIV-VLASTI</w:t>
            </w:r>
          </w:p>
        </w:tc>
        <w:tc>
          <w:tcPr>
            <w:tcW w:w="0" w:type="auto"/>
            <w:hideMark/>
          </w:tcPr>
          <w:p w14:paraId="0F6BD1A7"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0,6340</w:t>
            </w:r>
          </w:p>
        </w:tc>
      </w:tr>
    </w:tbl>
    <w:p w14:paraId="37429200" w14:textId="77777777" w:rsidR="00756EF2" w:rsidRDefault="00756EF2" w:rsidP="00473FAA">
      <w:pPr>
        <w:ind w:firstLine="720"/>
        <w:jc w:val="both"/>
        <w:rPr>
          <w:lang w:val="sr-Cyrl-RS"/>
        </w:rPr>
      </w:pPr>
    </w:p>
    <w:p w14:paraId="0FE7D53B" w14:textId="77777777" w:rsidR="00473FAA" w:rsidRPr="007E1678" w:rsidRDefault="00473FAA" w:rsidP="00473FAA">
      <w:pPr>
        <w:ind w:firstLine="720"/>
        <w:jc w:val="both"/>
        <w:rPr>
          <w:lang w:val="en-US"/>
        </w:rPr>
      </w:pPr>
      <w:r>
        <w:rPr>
          <w:lang w:val="en-US"/>
        </w:rPr>
        <w:t xml:space="preserve">Резултати по класама показују значајну разлику у успешности класификације. Најбољи резултат добијен је за класу ZA-VLAST, са F1 резултатом 0,6451, док је класа PROTIV-VLASTI остварила F1 од 0,6340. Најслабији резултат добијен је за класу NEUTRAL, чији F1 износи свега 0,3806. Ово указује да је препознавање неутралних коментара главно ограничење </w:t>
      </w:r>
      <w:r>
        <w:rPr>
          <w:i/>
          <w:iCs/>
          <w:lang w:val="en-US"/>
        </w:rPr>
        <w:t>baseline</w:t>
      </w:r>
      <w:r>
        <w:rPr>
          <w:lang w:val="en-US"/>
        </w:rPr>
        <w:t xml:space="preserve"> приступа.</w:t>
      </w:r>
    </w:p>
    <w:p w14:paraId="4BEBF9FF" w14:textId="77777777" w:rsidR="00D762F8" w:rsidRDefault="00D762F8" w:rsidP="00D762F8">
      <w:pPr>
        <w:rPr>
          <w:b/>
          <w:bCs/>
          <w:lang w:val="en-US"/>
        </w:rPr>
      </w:pPr>
      <w:r>
        <w:rPr>
          <w:noProof/>
        </w:rPr>
        <w:lastRenderedPageBreak/>
        <w:drawing>
          <wp:inline distT="0" distB="0" distL="0" distR="0" wp14:anchorId="1313D8FD" wp14:editId="3B10D110">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36E28301" w14:textId="77777777" w:rsidR="00D762F8" w:rsidRPr="00D762F8" w:rsidRDefault="00D762F8" w:rsidP="00D762F8">
      <w:pPr>
        <w:jc w:val="center"/>
        <w:rPr>
          <w:b/>
          <w:bCs/>
          <w:lang w:val="sr-Cyrl-RS"/>
        </w:rPr>
      </w:pPr>
      <w:r>
        <w:rPr>
          <w:lang w:val="sr-Cyrl-RS"/>
        </w:rPr>
        <w:t>Слика 3.1 Макро-</w:t>
      </w:r>
      <w:r>
        <w:rPr>
          <w:lang w:val="en-US"/>
        </w:rPr>
        <w:t xml:space="preserve">F1 </w:t>
      </w:r>
      <w:r>
        <w:rPr>
          <w:lang w:val="sr-Cyrl-RS"/>
        </w:rPr>
        <w:t>за 15 најбољих конфигурација</w:t>
      </w:r>
    </w:p>
    <w:p w14:paraId="2AC88F43" w14:textId="77777777" w:rsidR="00D762F8" w:rsidRDefault="00D762F8" w:rsidP="00D762F8">
      <w:pPr>
        <w:jc w:val="both"/>
        <w:rPr>
          <w:lang w:val="sr-Cyrl-RS"/>
        </w:rPr>
      </w:pPr>
    </w:p>
    <w:p w14:paraId="6B2CC545" w14:textId="77777777" w:rsidR="00756EF2" w:rsidRDefault="00D762F8" w:rsidP="00767836">
      <w:pPr>
        <w:ind w:firstLine="720"/>
        <w:jc w:val="both"/>
        <w:rPr>
          <w:lang w:val="sr-Cyrl-RS"/>
        </w:rPr>
      </w:pPr>
      <w:r>
        <w:t>Слика 3.1 приказује рангирање најбољих конфигурација по macro-F1. Види се да врх листе доминирају варијанте са </w:t>
      </w:r>
      <w:r>
        <w:rPr>
          <w:i/>
          <w:iCs/>
        </w:rPr>
        <w:t>stem</w:t>
      </w:r>
      <w:r>
        <w:t> нормализацијом и да су LR и SVM близу један другом, док NB нешто заостаје на самом врху, али остаје конкурентан.</w:t>
      </w:r>
    </w:p>
    <w:p w14:paraId="2F98D04B" w14:textId="77777777" w:rsidR="00D762F8" w:rsidRPr="00D762F8" w:rsidRDefault="00D762F8" w:rsidP="00767836">
      <w:pPr>
        <w:ind w:firstLine="720"/>
        <w:jc w:val="both"/>
        <w:rPr>
          <w:lang w:val="sr-Cyrl-RS"/>
        </w:rPr>
      </w:pPr>
    </w:p>
    <w:p w14:paraId="147B9A33" w14:textId="77777777" w:rsidR="00473FAA" w:rsidRPr="00473FAA" w:rsidRDefault="00473FAA" w:rsidP="00767836">
      <w:pPr>
        <w:ind w:firstLine="720"/>
        <w:jc w:val="both"/>
        <w:rPr>
          <w:lang w:val="en-US"/>
        </w:rPr>
      </w:pPr>
      <w:r>
        <w:rPr>
          <w:lang w:val="en-US"/>
        </w:rPr>
        <w:t xml:space="preserve">Најслабија испитана конфигурација била је </w:t>
      </w:r>
      <w:r>
        <w:rPr>
          <w:b/>
          <w:bCs/>
          <w:lang w:val="en-US"/>
        </w:rPr>
        <w:t>SVM + IDF + без lowercasing-а + none</w:t>
      </w:r>
      <w:r>
        <w:rPr>
          <w:lang w:val="en-US"/>
        </w:rPr>
        <w:t>, са macro-F1 резултатом од 0,4646. Разлика између најбоље и најслабије конфигурације износила је приближно 0,089 macro-F1, што показује да избор претпроцесирања и текстуалне репрезентације има значајан утицај на резултат, чак и када се користи исти тип класификатора.</w:t>
      </w:r>
    </w:p>
    <w:p w14:paraId="64D75EE8" w14:textId="77777777" w:rsidR="00473FAA" w:rsidRDefault="00473FAA" w:rsidP="00473FAA">
      <w:pPr>
        <w:rPr>
          <w:lang w:val="sr-Cyrl-RS"/>
        </w:rPr>
      </w:pPr>
    </w:p>
    <w:p w14:paraId="3560D5F4" w14:textId="77777777" w:rsidR="00D762F8" w:rsidRDefault="00D762F8" w:rsidP="00D762F8">
      <w:pPr>
        <w:jc w:val="center"/>
        <w:rPr>
          <w:sz w:val="32"/>
          <w:lang w:val="sr-Cyrl-RS"/>
        </w:rPr>
      </w:pPr>
      <w:r>
        <w:rPr>
          <w:noProof/>
        </w:rPr>
        <w:lastRenderedPageBreak/>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5EFCCC27" w14:textId="77777777"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2330DE32" w14:textId="77777777" w:rsidR="00D762F8" w:rsidRPr="00D762F8" w:rsidRDefault="00D762F8" w:rsidP="00D762F8">
      <w:pPr>
        <w:jc w:val="center"/>
        <w:rPr>
          <w:lang w:val="sr-Cyrl-RS"/>
        </w:rPr>
      </w:pPr>
    </w:p>
    <w:p w14:paraId="24C8D877" w14:textId="77777777" w:rsidR="00D762F8" w:rsidRDefault="00D762F8" w:rsidP="00D762F8">
      <w:pPr>
        <w:ind w:firstLine="720"/>
        <w:jc w:val="both"/>
        <w:rPr>
          <w:lang w:val="sr-Cyrl-RS"/>
        </w:rPr>
      </w:pPr>
      <w:r>
        <w:t>Слика 3.</w:t>
      </w:r>
      <w:r>
        <w:rPr>
          <w:lang w:val="sr-Cyrl-RS"/>
        </w:rPr>
        <w:t>2</w:t>
      </w:r>
      <w:r>
        <w:t xml:space="preserve"> показује расподелу macro-F1 преко свих конфигурација сваког модела. LR има и најбољи максимум и стабилан просек; NB је близак по просеку, док SVM има нешто нижи просек али још увек јак најбољи резултат (0.5475).</w:t>
      </w:r>
    </w:p>
    <w:p w14:paraId="48251ED4" w14:textId="77777777" w:rsidR="00D762F8" w:rsidRDefault="00D762F8" w:rsidP="00D762F8">
      <w:pPr>
        <w:jc w:val="center"/>
        <w:rPr>
          <w:lang w:val="sr-Cyrl-RS"/>
        </w:rPr>
      </w:pPr>
      <w:r>
        <w:rPr>
          <w:noProof/>
        </w:rPr>
        <w:drawing>
          <wp:inline distT="0" distB="0" distL="0" distR="0" wp14:anchorId="2C920BA3" wp14:editId="247F19E3">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531C7D70" w14:textId="77777777"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0705040A" w14:textId="77777777" w:rsidR="00D762F8" w:rsidRPr="00D762F8" w:rsidRDefault="00D762F8" w:rsidP="00D762F8">
      <w:pPr>
        <w:jc w:val="center"/>
        <w:rPr>
          <w:lang w:val="sr-Cyrl-RS"/>
        </w:rPr>
      </w:pPr>
    </w:p>
    <w:p w14:paraId="667898A5" w14:textId="77777777" w:rsidR="00D762F8" w:rsidRPr="00D762F8" w:rsidRDefault="00D762F8" w:rsidP="00D762F8">
      <w:pPr>
        <w:ind w:firstLine="720"/>
        <w:jc w:val="both"/>
        <w:rPr>
          <w:lang w:val="en-US"/>
        </w:rPr>
      </w:pPr>
      <w:r>
        <w:rPr>
          <w:lang w:val="en-US"/>
        </w:rPr>
        <w:t xml:space="preserve">Слика 3.3 приказује просечан macro-F1 по пондерисању: TF </w:t>
      </w:r>
      <w:r>
        <w:rPr>
          <w:lang w:val="sr-Cyrl-RS"/>
        </w:rPr>
        <w:t xml:space="preserve">са </w:t>
      </w:r>
      <w:r>
        <w:rPr>
          <w:lang w:val="en-US"/>
        </w:rPr>
        <w:t xml:space="preserve">0.5217 благо надмашује IDF </w:t>
      </w:r>
      <w:r>
        <w:rPr>
          <w:lang w:val="sr-Cyrl-RS"/>
        </w:rPr>
        <w:t xml:space="preserve">са </w:t>
      </w:r>
      <w:r>
        <w:rPr>
          <w:lang w:val="en-US"/>
        </w:rPr>
        <w:t xml:space="preserve">0.5158 и TF-IDF </w:t>
      </w:r>
      <w:r>
        <w:rPr>
          <w:lang w:val="sr-Cyrl-RS"/>
        </w:rPr>
        <w:t xml:space="preserve">са </w:t>
      </w:r>
      <w:r>
        <w:rPr>
          <w:lang w:val="en-US"/>
        </w:rPr>
        <w:t>0.5132. Дакле, на овом скупу кратких коментара TF-IDF није аутоматски најбољи избор.</w:t>
      </w:r>
    </w:p>
    <w:p w14:paraId="3B84E7CE" w14:textId="77777777" w:rsidR="00D762F8" w:rsidRDefault="00D762F8" w:rsidP="00D762F8">
      <w:pPr>
        <w:ind w:firstLine="720"/>
        <w:jc w:val="both"/>
        <w:rPr>
          <w:lang w:val="sr-Cyrl-RS"/>
        </w:rPr>
      </w:pPr>
      <w:r>
        <w:rPr>
          <w:lang w:val="en-US"/>
        </w:rPr>
        <w:t>Слика 3.</w:t>
      </w:r>
      <w:r>
        <w:rPr>
          <w:lang w:val="sr-Cyrl-RS"/>
        </w:rPr>
        <w:t>4</w:t>
      </w:r>
      <w:r>
        <w:rPr>
          <w:lang w:val="en-US"/>
        </w:rPr>
        <w:t xml:space="preserve"> додатно укршта модел и пондерисање (најбољи macro-F1 у свакој ћелији). </w:t>
      </w:r>
      <w:r>
        <w:rPr>
          <w:i/>
          <w:iCs/>
          <w:lang w:val="en-US"/>
        </w:rPr>
        <w:t>Heatmap</w:t>
      </w:r>
      <w:r>
        <w:rPr>
          <w:lang w:val="en-US"/>
        </w:rPr>
        <w:t xml:space="preserve"> потврђује да комбинације LR/SVM са TF или IDF дају најјаче ћелије, док TF-IDF није доминантан ни за један модел.</w:t>
      </w:r>
    </w:p>
    <w:p w14:paraId="74BD98F5" w14:textId="77777777" w:rsidR="00D762F8" w:rsidRDefault="00D762F8" w:rsidP="00D762F8">
      <w:pPr>
        <w:jc w:val="center"/>
        <w:rPr>
          <w:lang w:val="sr-Cyrl-RS"/>
        </w:rPr>
      </w:pPr>
      <w:r>
        <w:rPr>
          <w:noProof/>
        </w:rPr>
        <w:lastRenderedPageBreak/>
        <w:drawing>
          <wp:inline distT="0" distB="0" distL="0" distR="0" wp14:anchorId="5E890F76" wp14:editId="0D2A22A0">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28A1E804" w14:textId="77777777" w:rsidR="00D762F8" w:rsidRPr="00D942EA" w:rsidRDefault="00D762F8" w:rsidP="00D762F8">
      <w:pPr>
        <w:jc w:val="center"/>
        <w:rPr>
          <w:lang w:val="sr-Cyrl-RS"/>
        </w:rPr>
      </w:pPr>
      <w:r>
        <w:rPr>
          <w:lang w:val="sr-Cyrl-RS"/>
        </w:rPr>
        <w:t xml:space="preserve">Слика 3.4 </w:t>
      </w:r>
      <w:r>
        <w:rPr>
          <w:i/>
          <w:iCs/>
          <w:lang w:val="en-US"/>
        </w:rPr>
        <w:t>Heatmap</w:t>
      </w:r>
      <w:r>
        <w:rPr>
          <w:i/>
          <w:iCs/>
          <w:lang w:val="sr-Cyrl-RS"/>
        </w:rPr>
        <w:t xml:space="preserve"> </w:t>
      </w:r>
      <w:r>
        <w:rPr>
          <w:lang w:val="sr-Cyrl-RS"/>
        </w:rPr>
        <w:t>најбољи макро</w:t>
      </w:r>
      <w:r>
        <w:rPr>
          <w:lang w:val="en-US"/>
        </w:rPr>
        <w:t>-F1</w:t>
      </w:r>
      <w:r>
        <w:rPr>
          <w:lang w:val="sr-Cyrl-RS"/>
        </w:rPr>
        <w:t xml:space="preserve"> за типове пондерисања и сва 3 модела</w:t>
      </w:r>
    </w:p>
    <w:p w14:paraId="664EA26A" w14:textId="77777777" w:rsidR="00D762F8" w:rsidRPr="00D762F8" w:rsidRDefault="00D762F8" w:rsidP="00D762F8">
      <w:pPr>
        <w:jc w:val="center"/>
        <w:rPr>
          <w:lang w:val="sr-Cyrl-RS"/>
        </w:rPr>
      </w:pPr>
    </w:p>
    <w:p w14:paraId="71B9A8DA" w14:textId="77777777" w:rsidR="00D762F8" w:rsidRPr="00D942EA" w:rsidRDefault="00D762F8" w:rsidP="00D942EA">
      <w:pPr>
        <w:ind w:firstLine="720"/>
        <w:jc w:val="both"/>
        <w:rPr>
          <w:lang w:val="en-US"/>
        </w:rPr>
      </w:pPr>
      <w:r>
        <w:rPr>
          <w:lang w:val="en-US"/>
        </w:rPr>
        <w:t>Слика 3.</w:t>
      </w:r>
      <w:r>
        <w:rPr>
          <w:lang w:val="sr-Cyrl-RS"/>
        </w:rPr>
        <w:t>5</w:t>
      </w:r>
      <w:r>
        <w:rPr>
          <w:lang w:val="en-US"/>
        </w:rPr>
        <w:t> показује да је stem (просек 0.5379) јасно бољи од lemma (0.5125) и none (0.5004). Стемовање спаја морфолошке варијанте у кратким BCMS коментарима и представља најважнији фактор претпроцесирања у овом експерименту.</w:t>
      </w:r>
    </w:p>
    <w:p w14:paraId="7A8FA60F" w14:textId="77777777" w:rsidR="00D762F8" w:rsidRDefault="00D762F8" w:rsidP="00D762F8">
      <w:pPr>
        <w:jc w:val="center"/>
        <w:rPr>
          <w:lang w:val="sr-Cyrl-RS"/>
        </w:rPr>
      </w:pPr>
      <w:r>
        <w:rPr>
          <w:noProof/>
        </w:rPr>
        <w:drawing>
          <wp:inline distT="0" distB="0" distL="0" distR="0" wp14:anchorId="79D5321F" wp14:editId="4A7888EF">
            <wp:extent cx="4783667" cy="3439025"/>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14408" cy="3461125"/>
                    </a:xfrm>
                    <a:prstGeom prst="rect">
                      <a:avLst/>
                    </a:prstGeom>
                    <a:noFill/>
                    <a:ln>
                      <a:noFill/>
                    </a:ln>
                  </pic:spPr>
                </pic:pic>
              </a:graphicData>
            </a:graphic>
          </wp:inline>
        </w:drawing>
      </w:r>
    </w:p>
    <w:p w14:paraId="73E278D2" w14:textId="77777777"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5241F55E" w14:textId="77777777" w:rsidR="00D942EA" w:rsidRDefault="00D942EA" w:rsidP="00D762F8">
      <w:pPr>
        <w:jc w:val="center"/>
        <w:rPr>
          <w:lang w:val="sr-Cyrl-RS"/>
        </w:rPr>
      </w:pPr>
      <w:r>
        <w:rPr>
          <w:noProof/>
        </w:rPr>
        <w:lastRenderedPageBreak/>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76EF256" w14:textId="77777777"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653A942" w14:textId="77777777" w:rsidR="00D942EA" w:rsidRDefault="00D942EA" w:rsidP="00D762F8">
      <w:pPr>
        <w:jc w:val="center"/>
        <w:rPr>
          <w:lang w:val="en-US"/>
        </w:rPr>
      </w:pPr>
    </w:p>
    <w:p w14:paraId="5290FE8D" w14:textId="77777777" w:rsidR="00D942EA" w:rsidRDefault="00D942EA" w:rsidP="00D942EA">
      <w:pPr>
        <w:ind w:firstLine="720"/>
        <w:jc w:val="both"/>
        <w:rPr>
          <w:lang w:val="en-US"/>
        </w:rPr>
      </w:pPr>
      <w:r>
        <w:rPr>
          <w:lang w:val="en-US"/>
        </w:rPr>
        <w:t>Слика 3.6 показује благу предност укљученог lowercasing-а: 0.5210 наспрам 0.5129. Ефекат постоји, али је мањи од ефекта стемовања.</w:t>
      </w:r>
    </w:p>
    <w:p w14:paraId="1F823C32" w14:textId="77777777" w:rsidR="00D942EA" w:rsidRDefault="00D942EA" w:rsidP="00D942EA">
      <w:pPr>
        <w:ind w:firstLine="720"/>
        <w:jc w:val="both"/>
        <w:rPr>
          <w:lang w:val="en-US"/>
        </w:rPr>
      </w:pPr>
    </w:p>
    <w:p w14:paraId="624BFCE4" w14:textId="77777777"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18318F8C" w14:textId="77777777"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405CA3BC" w14:textId="77777777" w:rsidR="00D942EA" w:rsidRDefault="00D942EA" w:rsidP="00D942EA">
      <w:pPr>
        <w:ind w:firstLine="720"/>
        <w:jc w:val="both"/>
        <w:rPr>
          <w:lang w:val="sr-Cyrl-RS"/>
        </w:rPr>
      </w:pPr>
      <w:r>
        <w:rPr>
          <w:lang w:val="en-US"/>
        </w:rPr>
        <w:lastRenderedPageBreak/>
        <w:t xml:space="preserve">Слика </w:t>
      </w:r>
      <w:r>
        <w:rPr>
          <w:lang w:val="sr-Cyrl-RS"/>
        </w:rPr>
        <w:t xml:space="preserve">3.7 </w:t>
      </w:r>
      <w:r>
        <w:rPr>
          <w:lang w:val="en-US"/>
        </w:rPr>
        <w:t>приказује F1 по класама за глобалног победника (LR + TF + stem). Класа NEUTRAL је значајно слабија (≈ 0.38) од ZA-VLAST и PROTIV-VLASTI (≈ 0.63–0.65), што је очекивано јер су неутрални коментари мање лексички „обојени“ и мање заступљени.</w:t>
      </w:r>
    </w:p>
    <w:p w14:paraId="3D022DC7" w14:textId="77777777" w:rsidR="00D942EA" w:rsidRDefault="00D942EA" w:rsidP="00D942EA">
      <w:pPr>
        <w:jc w:val="center"/>
        <w:rPr>
          <w:lang w:val="sr-Cyrl-RS"/>
        </w:rPr>
      </w:pPr>
      <w:r>
        <w:rPr>
          <w:noProof/>
        </w:rPr>
        <w:drawing>
          <wp:inline distT="0" distB="0" distL="0" distR="0" wp14:anchorId="53B33680" wp14:editId="3F0F568F">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17A2F3E7" w14:textId="77777777"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617398C4" w14:textId="77777777" w:rsidR="00D942EA" w:rsidRPr="00D942EA" w:rsidRDefault="00D942EA" w:rsidP="00D942EA">
      <w:pPr>
        <w:jc w:val="center"/>
        <w:rPr>
          <w:lang w:val="sr-Cyrl-RS"/>
        </w:rPr>
      </w:pPr>
    </w:p>
    <w:p w14:paraId="2AB88BB8" w14:textId="77777777" w:rsidR="00D942EA" w:rsidRPr="00D942EA" w:rsidRDefault="00D942EA" w:rsidP="00D942EA">
      <w:pPr>
        <w:ind w:firstLine="720"/>
        <w:jc w:val="both"/>
        <w:rPr>
          <w:lang w:val="en-US"/>
        </w:rPr>
      </w:pPr>
      <w:r>
        <w:rPr>
          <w:lang w:val="en-US"/>
        </w:rPr>
        <w:t>Слика 3.</w:t>
      </w:r>
      <w:r>
        <w:rPr>
          <w:lang w:val="sr-Cyrl-RS"/>
        </w:rPr>
        <w:t>8</w:t>
      </w:r>
      <w:r>
        <w:rPr>
          <w:lang w:val="en-US"/>
        </w:rPr>
        <w:t> упоређује најбољу конфигурацију сваког модела по класама. Сва три модела имају исти образац: најслабији NEUTRAL, јачи ZA-VLAST и PROTIV-VLASTI. Разлике међу моделима су мале у односу на јаз између NEUTRAL и осталих класа.</w:t>
      </w:r>
    </w:p>
    <w:p w14:paraId="04D4D6A2" w14:textId="77777777" w:rsidR="00D942EA" w:rsidRPr="00D942EA" w:rsidRDefault="00D942EA" w:rsidP="00D942EA">
      <w:pPr>
        <w:jc w:val="both"/>
        <w:rPr>
          <w:lang w:val="sr-Cyrl-RS"/>
        </w:rPr>
      </w:pPr>
    </w:p>
    <w:p w14:paraId="743AAE95" w14:textId="77777777" w:rsidR="002D0A1C" w:rsidRPr="004361C2" w:rsidRDefault="00BE30C5">
      <w:pPr>
        <w:pStyle w:val="Heading3"/>
        <w:rPr>
          <w:lang w:val="en-US"/>
        </w:rPr>
      </w:pPr>
      <w:bookmarkStart w:id="19" w:name="_3.1.4._Аблација_опсега"/>
      <w:bookmarkEnd w:id="19"/>
      <w:r>
        <w:rPr>
          <w:rFonts w:ascii="Times New Roman" w:hAnsi="Times New Roman" w:cs="Times New Roman"/>
          <w:color w:val="auto"/>
          <w:sz w:val="32"/>
          <w:lang w:val="sr-Cyrl-RS"/>
        </w:rPr>
        <w:t>3.1.4</w:t>
      </w:r>
      <w:r>
        <w:rPr>
          <w:rFonts w:ascii="Times New Roman" w:hAnsi="Times New Roman" w:cs="Times New Roman"/>
          <w:color w:val="auto"/>
          <w:sz w:val="32"/>
        </w:rPr>
        <w:t xml:space="preserve">. </w:t>
      </w:r>
      <w:r>
        <w:rPr>
          <w:rFonts w:ascii="Times New Roman" w:hAnsi="Times New Roman" w:cs="Times New Roman"/>
          <w:color w:val="auto"/>
          <w:sz w:val="32"/>
          <w:lang w:val="sr-Cyrl-RS"/>
        </w:rPr>
        <w:t>Аблација опсега н-грама и филтрирањ</w:t>
      </w:r>
      <w:r>
        <w:rPr>
          <w:rFonts w:ascii="Times New Roman" w:hAnsi="Times New Roman" w:cs="Times New Roman"/>
          <w:color w:val="auto"/>
          <w:sz w:val="32"/>
          <w:lang w:val="en-US"/>
        </w:rPr>
        <w:t>e</w:t>
      </w:r>
    </w:p>
    <w:p w14:paraId="0A489101" w14:textId="77777777" w:rsidR="002D0A1C" w:rsidRDefault="00BE30C5">
      <w:pPr>
        <w:ind w:firstLine="720"/>
        <w:jc w:val="both"/>
        <w:rPr>
          <w:lang w:val="sr-Cyrl-RS"/>
        </w:rPr>
      </w:pPr>
      <w:r>
        <w:rPr>
          <w:lang w:val="sr-Cyrl-RS"/>
        </w:rPr>
        <w:t>Након основних 54 конфигурације (Поглавља 3.1.1–3.1.3), победничке конфигурације по моделу — LR TF lc stem, SVM TF lc stem, NB IDF lc stem — додатно су тестиране варирањем два фактора векторизације, док су пондерисање, lowercasing и нормализација остали фиксирани на претходно утврђене оптималне вредности по моделу.</w:t>
      </w:r>
    </w:p>
    <w:p w14:paraId="1CEF850B" w14:textId="77777777" w:rsidR="002D0A1C" w:rsidRDefault="00BE30C5">
      <w:pPr>
        <w:ind w:firstLine="720"/>
        <w:jc w:val="both"/>
        <w:rPr>
          <w:lang w:val="sr-Cyrl-RS"/>
        </w:rPr>
      </w:pPr>
      <w:r>
        <w:rPr>
          <w:lang w:val="sr-Cyrl-RS"/>
        </w:rPr>
        <w:t>Разматрана су три опсега н-грама: унигрaми; унигрaми и бигрaми (коришћено у претходним експериментима); унигрaми, бигрaми и тригрaми. Паралелно је испитано и филтрирање речника преко параметара min_df и max_df, кроз три подешавања: без филтрирања (min_df=1, max_df=1.0), тренутно подешавање (min_df=2, max_df=0.95) и строже филтрирање (min_df=5, max_df=0.90). За сваки модел тестирано је по шест конфигурација (три за н-граме, три за филтрирање), при чему тренутно подешавање представља заједничку референтну тачку за оба фактора — његов резултат се стога понавља у оба блока. Укупно 18 нових покретања, без пуног факторијалног укрштања оба фактора (3×3=9 по моделу, 27 укупно) и без понављања целе мреже од 54 базне конфигурације.</w:t>
      </w:r>
    </w:p>
    <w:p w14:paraId="2BCFBAE2" w14:textId="77777777" w:rsidR="002D0A1C" w:rsidRDefault="002D0A1C">
      <w:pPr>
        <w:jc w:val="both"/>
        <w:rPr>
          <w:lang w:val="en-US"/>
        </w:rPr>
      </w:pPr>
    </w:p>
    <w:p w14:paraId="5B41394E" w14:textId="77777777" w:rsidR="002D0A1C" w:rsidRDefault="00BE30C5">
      <w:pPr>
        <w:jc w:val="center"/>
        <w:rPr>
          <w:lang w:val="sr-Cyrl-RS"/>
        </w:rPr>
      </w:pPr>
      <w:r>
        <w:rPr>
          <w:lang w:val="sr-Cyrl-RS"/>
        </w:rPr>
        <w:t>Табела — Резултати аблације опсега н-грама и филтрирања речника</w:t>
      </w:r>
    </w:p>
    <w:tbl>
      <w:tblPr>
        <w:tblStyle w:val="GridTable2-Accent4"/>
        <w:tblW w:w="9350" w:type="dxa"/>
        <w:jc w:val="center"/>
        <w:tblLayout w:type="fixed"/>
        <w:tblLook w:val="04A0" w:firstRow="1" w:lastRow="0" w:firstColumn="1" w:lastColumn="0" w:noHBand="0" w:noVBand="1"/>
      </w:tblPr>
      <w:tblGrid>
        <w:gridCol w:w="700"/>
        <w:gridCol w:w="1000"/>
        <w:gridCol w:w="2200"/>
        <w:gridCol w:w="850"/>
        <w:gridCol w:w="850"/>
        <w:gridCol w:w="1000"/>
        <w:gridCol w:w="1000"/>
        <w:gridCol w:w="1750"/>
      </w:tblGrid>
      <w:tr w:rsidR="002D0A1C" w14:paraId="6EB1B752" w14:textId="77777777" w:rsidTr="002D0A1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700" w:type="dxa"/>
          </w:tcPr>
          <w:p w14:paraId="704050EE" w14:textId="77777777" w:rsidR="002D0A1C" w:rsidRDefault="00BE30C5">
            <w:pPr>
              <w:jc w:val="both"/>
              <w:rPr>
                <w:b w:val="0"/>
                <w:bCs w:val="0"/>
                <w:sz w:val="20"/>
                <w:szCs w:val="20"/>
                <w:lang w:val="en-US"/>
              </w:rPr>
            </w:pPr>
            <w:r>
              <w:rPr>
                <w:sz w:val="20"/>
                <w:szCs w:val="20"/>
                <w:lang w:val="en-US"/>
              </w:rPr>
              <w:lastRenderedPageBreak/>
              <w:t>Модел</w:t>
            </w:r>
          </w:p>
        </w:tc>
        <w:tc>
          <w:tcPr>
            <w:tcW w:w="1000" w:type="dxa"/>
          </w:tcPr>
          <w:p w14:paraId="6E6DB45E"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Фактор</w:t>
            </w:r>
          </w:p>
        </w:tc>
        <w:tc>
          <w:tcPr>
            <w:tcW w:w="2200" w:type="dxa"/>
          </w:tcPr>
          <w:p w14:paraId="01AD685F"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Вредност</w:t>
            </w:r>
          </w:p>
        </w:tc>
        <w:tc>
          <w:tcPr>
            <w:tcW w:w="850" w:type="dxa"/>
          </w:tcPr>
          <w:p w14:paraId="7489BF7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Macro-F1</w:t>
            </w:r>
          </w:p>
        </w:tc>
        <w:tc>
          <w:tcPr>
            <w:tcW w:w="850" w:type="dxa"/>
          </w:tcPr>
          <w:p w14:paraId="6383A9A6"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Accuracy</w:t>
            </w:r>
          </w:p>
        </w:tc>
        <w:tc>
          <w:tcPr>
            <w:tcW w:w="1000" w:type="dxa"/>
          </w:tcPr>
          <w:p w14:paraId="4D103FA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NEUTRAL</w:t>
            </w:r>
          </w:p>
        </w:tc>
        <w:tc>
          <w:tcPr>
            <w:tcW w:w="1000" w:type="dxa"/>
          </w:tcPr>
          <w:p w14:paraId="036727FD"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ZA-VLAST</w:t>
            </w:r>
          </w:p>
        </w:tc>
        <w:tc>
          <w:tcPr>
            <w:tcW w:w="1750" w:type="dxa"/>
          </w:tcPr>
          <w:p w14:paraId="2775D679"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PROTIV-VLASTI</w:t>
            </w:r>
          </w:p>
        </w:tc>
      </w:tr>
      <w:tr w:rsidR="002D0A1C" w14:paraId="2DB57E9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32D2BD0D" w14:textId="77777777" w:rsidR="002D0A1C" w:rsidRDefault="00BE30C5">
            <w:pPr>
              <w:jc w:val="both"/>
              <w:rPr>
                <w:lang w:val="en-US"/>
              </w:rPr>
            </w:pPr>
            <w:r>
              <w:rPr>
                <w:b w:val="0"/>
                <w:bCs w:val="0"/>
                <w:lang w:val="en-US"/>
              </w:rPr>
              <w:t>LR</w:t>
            </w:r>
          </w:p>
        </w:tc>
        <w:tc>
          <w:tcPr>
            <w:tcW w:w="1000" w:type="dxa"/>
          </w:tcPr>
          <w:p w14:paraId="59AB63B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1F1DC5C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5438B8F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0,5367</w:t>
            </w:r>
          </w:p>
        </w:tc>
        <w:tc>
          <w:tcPr>
            <w:tcW w:w="850" w:type="dxa"/>
          </w:tcPr>
          <w:p w14:paraId="1F1C772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0,5647</w:t>
            </w:r>
          </w:p>
        </w:tc>
        <w:tc>
          <w:tcPr>
            <w:tcW w:w="1000" w:type="dxa"/>
          </w:tcPr>
          <w:p w14:paraId="2213FF7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0,365</w:t>
            </w:r>
          </w:p>
        </w:tc>
        <w:tc>
          <w:tcPr>
            <w:tcW w:w="1000" w:type="dxa"/>
          </w:tcPr>
          <w:p w14:paraId="743B579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c>
          <w:tcPr>
            <w:tcW w:w="1750" w:type="dxa"/>
          </w:tcPr>
          <w:p w14:paraId="239BDE8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0,611</w:t>
            </w:r>
          </w:p>
        </w:tc>
      </w:tr>
      <w:tr w:rsidR="002D0A1C" w14:paraId="33A166F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26C66FFA" w14:textId="77777777" w:rsidR="002D0A1C" w:rsidRDefault="00BE30C5">
            <w:pPr>
              <w:jc w:val="both"/>
              <w:rPr>
                <w:lang w:val="en-US"/>
              </w:rPr>
            </w:pPr>
            <w:r>
              <w:rPr>
                <w:b w:val="0"/>
                <w:bCs w:val="0"/>
                <w:lang w:val="en-US"/>
              </w:rPr>
              <w:t>LR</w:t>
            </w:r>
          </w:p>
        </w:tc>
        <w:tc>
          <w:tcPr>
            <w:tcW w:w="1000" w:type="dxa"/>
          </w:tcPr>
          <w:p w14:paraId="25C28CB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339DC3A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46673F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0,5535</w:t>
            </w:r>
          </w:p>
        </w:tc>
        <w:tc>
          <w:tcPr>
            <w:tcW w:w="850" w:type="dxa"/>
          </w:tcPr>
          <w:p w14:paraId="01E997D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0,5828</w:t>
            </w:r>
          </w:p>
        </w:tc>
        <w:tc>
          <w:tcPr>
            <w:tcW w:w="1000" w:type="dxa"/>
          </w:tcPr>
          <w:p w14:paraId="79737BC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0,381</w:t>
            </w:r>
          </w:p>
        </w:tc>
        <w:tc>
          <w:tcPr>
            <w:tcW w:w="1000" w:type="dxa"/>
          </w:tcPr>
          <w:p w14:paraId="5E5F9B1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0,646</w:t>
            </w:r>
          </w:p>
        </w:tc>
        <w:tc>
          <w:tcPr>
            <w:tcW w:w="1750" w:type="dxa"/>
          </w:tcPr>
          <w:p w14:paraId="14CDBB9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w:t>
            </w:r>
          </w:p>
        </w:tc>
      </w:tr>
      <w:tr w:rsidR="002D0A1C" w14:paraId="0B315518"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1F801E6" w14:textId="77777777" w:rsidR="002D0A1C" w:rsidRDefault="00BE30C5">
            <w:pPr>
              <w:jc w:val="both"/>
              <w:rPr>
                <w:lang w:val="en-US"/>
              </w:rPr>
            </w:pPr>
            <w:r>
              <w:rPr>
                <w:b w:val="0"/>
                <w:bCs w:val="0"/>
                <w:lang w:val="en-US"/>
              </w:rPr>
              <w:t>LR</w:t>
            </w:r>
          </w:p>
        </w:tc>
        <w:tc>
          <w:tcPr>
            <w:tcW w:w="1000" w:type="dxa"/>
          </w:tcPr>
          <w:p w14:paraId="326DAB2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344C8FE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783A41D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0,5502</w:t>
            </w:r>
          </w:p>
        </w:tc>
        <w:tc>
          <w:tcPr>
            <w:tcW w:w="850" w:type="dxa"/>
          </w:tcPr>
          <w:p w14:paraId="6DFE12D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0,5779</w:t>
            </w:r>
          </w:p>
        </w:tc>
        <w:tc>
          <w:tcPr>
            <w:tcW w:w="1000" w:type="dxa"/>
          </w:tcPr>
          <w:p w14:paraId="4726255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0,383</w:t>
            </w:r>
          </w:p>
        </w:tc>
        <w:tc>
          <w:tcPr>
            <w:tcW w:w="1000" w:type="dxa"/>
          </w:tcPr>
          <w:p w14:paraId="1D74377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c>
          <w:tcPr>
            <w:tcW w:w="1750" w:type="dxa"/>
          </w:tcPr>
          <w:p w14:paraId="0E81233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28585837"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7E9A3835" w14:textId="77777777" w:rsidR="002D0A1C" w:rsidRDefault="00BE30C5">
            <w:pPr>
              <w:jc w:val="both"/>
              <w:rPr>
                <w:lang w:val="en-US"/>
              </w:rPr>
            </w:pPr>
            <w:r>
              <w:rPr>
                <w:b w:val="0"/>
                <w:bCs w:val="0"/>
                <w:lang w:val="en-US"/>
              </w:rPr>
              <w:t>LR</w:t>
            </w:r>
          </w:p>
        </w:tc>
        <w:tc>
          <w:tcPr>
            <w:tcW w:w="1000" w:type="dxa"/>
          </w:tcPr>
          <w:p w14:paraId="7D6B35D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14FCC12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3F8A1B5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0,5474</w:t>
            </w:r>
          </w:p>
        </w:tc>
        <w:tc>
          <w:tcPr>
            <w:tcW w:w="850" w:type="dxa"/>
          </w:tcPr>
          <w:p w14:paraId="304747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0,5755</w:t>
            </w:r>
          </w:p>
        </w:tc>
        <w:tc>
          <w:tcPr>
            <w:tcW w:w="1000" w:type="dxa"/>
          </w:tcPr>
          <w:p w14:paraId="398FA9A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0,370</w:t>
            </w:r>
          </w:p>
        </w:tc>
        <w:tc>
          <w:tcPr>
            <w:tcW w:w="1000" w:type="dxa"/>
          </w:tcPr>
          <w:p w14:paraId="576B906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0,651</w:t>
            </w:r>
          </w:p>
        </w:tc>
        <w:tc>
          <w:tcPr>
            <w:tcW w:w="1750" w:type="dxa"/>
          </w:tcPr>
          <w:p w14:paraId="548FB67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33F0938D"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03CED0D" w14:textId="77777777" w:rsidR="002D0A1C" w:rsidRDefault="00BE30C5">
            <w:pPr>
              <w:jc w:val="both"/>
              <w:rPr>
                <w:lang w:val="en-US"/>
              </w:rPr>
            </w:pPr>
            <w:r>
              <w:rPr>
                <w:b w:val="0"/>
                <w:bCs w:val="0"/>
                <w:lang w:val="en-US"/>
              </w:rPr>
              <w:t>LR</w:t>
            </w:r>
          </w:p>
        </w:tc>
        <w:tc>
          <w:tcPr>
            <w:tcW w:w="1000" w:type="dxa"/>
          </w:tcPr>
          <w:p w14:paraId="1C5EF8F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0282157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537F3C9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0,5535</w:t>
            </w:r>
          </w:p>
        </w:tc>
        <w:tc>
          <w:tcPr>
            <w:tcW w:w="850" w:type="dxa"/>
          </w:tcPr>
          <w:p w14:paraId="53455BE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0,5828</w:t>
            </w:r>
          </w:p>
        </w:tc>
        <w:tc>
          <w:tcPr>
            <w:tcW w:w="1000" w:type="dxa"/>
          </w:tcPr>
          <w:p w14:paraId="26E4A4D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0,381</w:t>
            </w:r>
          </w:p>
        </w:tc>
        <w:tc>
          <w:tcPr>
            <w:tcW w:w="1000" w:type="dxa"/>
          </w:tcPr>
          <w:p w14:paraId="2C94646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0,646</w:t>
            </w:r>
          </w:p>
        </w:tc>
        <w:tc>
          <w:tcPr>
            <w:tcW w:w="1750" w:type="dxa"/>
          </w:tcPr>
          <w:p w14:paraId="53DBD7B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r>
      <w:tr w:rsidR="002D0A1C" w14:paraId="13DCF4B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2F5967E8" w14:textId="77777777" w:rsidR="002D0A1C" w:rsidRDefault="00BE30C5">
            <w:pPr>
              <w:jc w:val="both"/>
              <w:rPr>
                <w:lang w:val="en-US"/>
              </w:rPr>
            </w:pPr>
            <w:r>
              <w:rPr>
                <w:b w:val="0"/>
                <w:bCs w:val="0"/>
                <w:lang w:val="en-US"/>
              </w:rPr>
              <w:t>LR</w:t>
            </w:r>
          </w:p>
        </w:tc>
        <w:tc>
          <w:tcPr>
            <w:tcW w:w="1000" w:type="dxa"/>
          </w:tcPr>
          <w:p w14:paraId="13F4076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13CC9EE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2BF915B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0,5147</w:t>
            </w:r>
          </w:p>
        </w:tc>
        <w:tc>
          <w:tcPr>
            <w:tcW w:w="850" w:type="dxa"/>
          </w:tcPr>
          <w:p w14:paraId="0DC36C8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0,5418</w:t>
            </w:r>
          </w:p>
        </w:tc>
        <w:tc>
          <w:tcPr>
            <w:tcW w:w="1000" w:type="dxa"/>
          </w:tcPr>
          <w:p w14:paraId="1D27E0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0,348</w:t>
            </w:r>
          </w:p>
        </w:tc>
        <w:tc>
          <w:tcPr>
            <w:tcW w:w="1000" w:type="dxa"/>
          </w:tcPr>
          <w:p w14:paraId="1DDD27D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0,610</w:t>
            </w:r>
          </w:p>
        </w:tc>
        <w:tc>
          <w:tcPr>
            <w:tcW w:w="1750" w:type="dxa"/>
          </w:tcPr>
          <w:p w14:paraId="484ED8B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0,586</w:t>
            </w:r>
          </w:p>
        </w:tc>
      </w:tr>
      <w:tr w:rsidR="002D0A1C" w14:paraId="5043D3DD"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1EA50393" w14:textId="77777777" w:rsidR="002D0A1C" w:rsidRDefault="00BE30C5">
            <w:pPr>
              <w:jc w:val="both"/>
              <w:rPr>
                <w:lang w:val="en-US"/>
              </w:rPr>
            </w:pPr>
            <w:r>
              <w:rPr>
                <w:b w:val="0"/>
                <w:bCs w:val="0"/>
                <w:lang w:val="en-US"/>
              </w:rPr>
              <w:t>SVM</w:t>
            </w:r>
          </w:p>
        </w:tc>
        <w:tc>
          <w:tcPr>
            <w:tcW w:w="1000" w:type="dxa"/>
          </w:tcPr>
          <w:p w14:paraId="3B86D1E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3E2E766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1781738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0,5406</w:t>
            </w:r>
          </w:p>
        </w:tc>
        <w:tc>
          <w:tcPr>
            <w:tcW w:w="850" w:type="dxa"/>
          </w:tcPr>
          <w:p w14:paraId="5C3A1CF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0,5765</w:t>
            </w:r>
          </w:p>
        </w:tc>
        <w:tc>
          <w:tcPr>
            <w:tcW w:w="1000" w:type="dxa"/>
          </w:tcPr>
          <w:p w14:paraId="3C772E6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0,346</w:t>
            </w:r>
          </w:p>
        </w:tc>
        <w:tc>
          <w:tcPr>
            <w:tcW w:w="1000" w:type="dxa"/>
          </w:tcPr>
          <w:p w14:paraId="433B7E4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0,648</w:t>
            </w:r>
          </w:p>
        </w:tc>
        <w:tc>
          <w:tcPr>
            <w:tcW w:w="1750" w:type="dxa"/>
          </w:tcPr>
          <w:p w14:paraId="5C69573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420F66A7"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5239AED" w14:textId="77777777" w:rsidR="002D0A1C" w:rsidRDefault="00BE30C5">
            <w:pPr>
              <w:jc w:val="both"/>
              <w:rPr>
                <w:lang w:val="en-US"/>
              </w:rPr>
            </w:pPr>
            <w:r>
              <w:rPr>
                <w:b w:val="0"/>
                <w:bCs w:val="0"/>
                <w:lang w:val="en-US"/>
              </w:rPr>
              <w:t>SVM</w:t>
            </w:r>
          </w:p>
        </w:tc>
        <w:tc>
          <w:tcPr>
            <w:tcW w:w="1000" w:type="dxa"/>
          </w:tcPr>
          <w:p w14:paraId="51FB678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34BFF31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42DECB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0,5475</w:t>
            </w:r>
          </w:p>
        </w:tc>
        <w:tc>
          <w:tcPr>
            <w:tcW w:w="850" w:type="dxa"/>
          </w:tcPr>
          <w:p w14:paraId="783FFB2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0,5846</w:t>
            </w:r>
          </w:p>
        </w:tc>
        <w:tc>
          <w:tcPr>
            <w:tcW w:w="1000" w:type="dxa"/>
          </w:tcPr>
          <w:p w14:paraId="499322D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0,356</w:t>
            </w:r>
          </w:p>
        </w:tc>
        <w:tc>
          <w:tcPr>
            <w:tcW w:w="1000" w:type="dxa"/>
          </w:tcPr>
          <w:p w14:paraId="2CAD89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c>
          <w:tcPr>
            <w:tcW w:w="1750" w:type="dxa"/>
          </w:tcPr>
          <w:p w14:paraId="188F071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r>
      <w:tr w:rsidR="002D0A1C" w14:paraId="4B78EBD6"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3E1ED15" w14:textId="77777777" w:rsidR="002D0A1C" w:rsidRDefault="00BE30C5">
            <w:pPr>
              <w:jc w:val="both"/>
              <w:rPr>
                <w:lang w:val="en-US"/>
              </w:rPr>
            </w:pPr>
            <w:r>
              <w:rPr>
                <w:b w:val="0"/>
                <w:bCs w:val="0"/>
                <w:lang w:val="en-US"/>
              </w:rPr>
              <w:t>SVM</w:t>
            </w:r>
          </w:p>
        </w:tc>
        <w:tc>
          <w:tcPr>
            <w:tcW w:w="1000" w:type="dxa"/>
          </w:tcPr>
          <w:p w14:paraId="6D51255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5D12EF0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3A68807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0,5471</w:t>
            </w:r>
          </w:p>
        </w:tc>
        <w:tc>
          <w:tcPr>
            <w:tcW w:w="850" w:type="dxa"/>
          </w:tcPr>
          <w:p w14:paraId="5614188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0,5842</w:t>
            </w:r>
          </w:p>
        </w:tc>
        <w:tc>
          <w:tcPr>
            <w:tcW w:w="1000" w:type="dxa"/>
          </w:tcPr>
          <w:p w14:paraId="5BFF17E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0,357</w:t>
            </w:r>
          </w:p>
        </w:tc>
        <w:tc>
          <w:tcPr>
            <w:tcW w:w="1000" w:type="dxa"/>
          </w:tcPr>
          <w:p w14:paraId="6445506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w:t>
            </w:r>
          </w:p>
        </w:tc>
        <w:tc>
          <w:tcPr>
            <w:tcW w:w="1750" w:type="dxa"/>
          </w:tcPr>
          <w:p w14:paraId="522AB54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r>
      <w:tr w:rsidR="002D0A1C" w14:paraId="09555780"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78FC4D6D" w14:textId="77777777" w:rsidR="002D0A1C" w:rsidRDefault="00BE30C5">
            <w:pPr>
              <w:jc w:val="both"/>
              <w:rPr>
                <w:lang w:val="en-US"/>
              </w:rPr>
            </w:pPr>
            <w:r>
              <w:rPr>
                <w:b w:val="0"/>
                <w:bCs w:val="0"/>
                <w:lang w:val="en-US"/>
              </w:rPr>
              <w:t>SVM</w:t>
            </w:r>
          </w:p>
        </w:tc>
        <w:tc>
          <w:tcPr>
            <w:tcW w:w="1000" w:type="dxa"/>
          </w:tcPr>
          <w:p w14:paraId="023342E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0399D4B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3F82003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0,5473</w:t>
            </w:r>
          </w:p>
        </w:tc>
        <w:tc>
          <w:tcPr>
            <w:tcW w:w="850" w:type="dxa"/>
          </w:tcPr>
          <w:p w14:paraId="794F345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0,5713</w:t>
            </w:r>
          </w:p>
        </w:tc>
        <w:tc>
          <w:tcPr>
            <w:tcW w:w="1000" w:type="dxa"/>
          </w:tcPr>
          <w:p w14:paraId="6E9877A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0,382</w:t>
            </w:r>
          </w:p>
        </w:tc>
        <w:tc>
          <w:tcPr>
            <w:tcW w:w="1000" w:type="dxa"/>
          </w:tcPr>
          <w:p w14:paraId="6A3401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0,655</w:t>
            </w:r>
          </w:p>
        </w:tc>
        <w:tc>
          <w:tcPr>
            <w:tcW w:w="1750" w:type="dxa"/>
          </w:tcPr>
          <w:p w14:paraId="683D0E2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0,605</w:t>
            </w:r>
          </w:p>
        </w:tc>
      </w:tr>
      <w:tr w:rsidR="002D0A1C" w14:paraId="247402F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A0A6EBE" w14:textId="77777777" w:rsidR="002D0A1C" w:rsidRDefault="00BE30C5">
            <w:pPr>
              <w:jc w:val="both"/>
              <w:rPr>
                <w:lang w:val="en-US"/>
              </w:rPr>
            </w:pPr>
            <w:r>
              <w:rPr>
                <w:b w:val="0"/>
                <w:bCs w:val="0"/>
                <w:lang w:val="en-US"/>
              </w:rPr>
              <w:t>SVM</w:t>
            </w:r>
          </w:p>
        </w:tc>
        <w:tc>
          <w:tcPr>
            <w:tcW w:w="1000" w:type="dxa"/>
          </w:tcPr>
          <w:p w14:paraId="6D472D1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5E98A7E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216F760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0,5475</w:t>
            </w:r>
          </w:p>
        </w:tc>
        <w:tc>
          <w:tcPr>
            <w:tcW w:w="850" w:type="dxa"/>
          </w:tcPr>
          <w:p w14:paraId="4C0FF48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0,5846</w:t>
            </w:r>
          </w:p>
        </w:tc>
        <w:tc>
          <w:tcPr>
            <w:tcW w:w="1000" w:type="dxa"/>
          </w:tcPr>
          <w:p w14:paraId="1B26021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0,356</w:t>
            </w:r>
          </w:p>
        </w:tc>
        <w:tc>
          <w:tcPr>
            <w:tcW w:w="1000" w:type="dxa"/>
          </w:tcPr>
          <w:p w14:paraId="1C2C0F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c>
          <w:tcPr>
            <w:tcW w:w="1750" w:type="dxa"/>
          </w:tcPr>
          <w:p w14:paraId="615C13E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r>
      <w:tr w:rsidR="002D0A1C" w14:paraId="5244570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1A2C893" w14:textId="77777777" w:rsidR="002D0A1C" w:rsidRDefault="00BE30C5">
            <w:pPr>
              <w:jc w:val="both"/>
              <w:rPr>
                <w:lang w:val="en-US"/>
              </w:rPr>
            </w:pPr>
            <w:r>
              <w:rPr>
                <w:b w:val="0"/>
                <w:bCs w:val="0"/>
                <w:lang w:val="en-US"/>
              </w:rPr>
              <w:t>SVM</w:t>
            </w:r>
          </w:p>
        </w:tc>
        <w:tc>
          <w:tcPr>
            <w:tcW w:w="1000" w:type="dxa"/>
          </w:tcPr>
          <w:p w14:paraId="2CF5792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6034DD0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670F260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0,5187</w:t>
            </w:r>
          </w:p>
        </w:tc>
        <w:tc>
          <w:tcPr>
            <w:tcW w:w="850" w:type="dxa"/>
          </w:tcPr>
          <w:p w14:paraId="4B33FE3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0,5550</w:t>
            </w:r>
          </w:p>
        </w:tc>
        <w:tc>
          <w:tcPr>
            <w:tcW w:w="1000" w:type="dxa"/>
          </w:tcPr>
          <w:p w14:paraId="24AC6B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0,329</w:t>
            </w:r>
          </w:p>
        </w:tc>
        <w:tc>
          <w:tcPr>
            <w:tcW w:w="1000" w:type="dxa"/>
          </w:tcPr>
          <w:p w14:paraId="05B75A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0,619</w:t>
            </w:r>
          </w:p>
        </w:tc>
        <w:tc>
          <w:tcPr>
            <w:tcW w:w="1750" w:type="dxa"/>
          </w:tcPr>
          <w:p w14:paraId="66186E1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0,608</w:t>
            </w:r>
          </w:p>
        </w:tc>
      </w:tr>
      <w:tr w:rsidR="002D0A1C" w14:paraId="4056C55F"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2CB65E3" w14:textId="77777777" w:rsidR="002D0A1C" w:rsidRDefault="00BE30C5">
            <w:pPr>
              <w:jc w:val="both"/>
              <w:rPr>
                <w:lang w:val="en-US"/>
              </w:rPr>
            </w:pPr>
            <w:r>
              <w:rPr>
                <w:b w:val="0"/>
                <w:bCs w:val="0"/>
                <w:lang w:val="en-US"/>
              </w:rPr>
              <w:t>NB</w:t>
            </w:r>
          </w:p>
        </w:tc>
        <w:tc>
          <w:tcPr>
            <w:tcW w:w="1000" w:type="dxa"/>
          </w:tcPr>
          <w:p w14:paraId="70106DB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414EAEF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029A584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0,5440</w:t>
            </w:r>
          </w:p>
        </w:tc>
        <w:tc>
          <w:tcPr>
            <w:tcW w:w="850" w:type="dxa"/>
          </w:tcPr>
          <w:p w14:paraId="76385D0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0,5755</w:t>
            </w:r>
          </w:p>
        </w:tc>
        <w:tc>
          <w:tcPr>
            <w:tcW w:w="1000" w:type="dxa"/>
          </w:tcPr>
          <w:p w14:paraId="6B559DD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0,354</w:t>
            </w:r>
          </w:p>
        </w:tc>
        <w:tc>
          <w:tcPr>
            <w:tcW w:w="1000" w:type="dxa"/>
          </w:tcPr>
          <w:p w14:paraId="4E95898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0,655</w:t>
            </w:r>
          </w:p>
        </w:tc>
        <w:tc>
          <w:tcPr>
            <w:tcW w:w="1750" w:type="dxa"/>
          </w:tcPr>
          <w:p w14:paraId="59CA48C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0,623</w:t>
            </w:r>
          </w:p>
        </w:tc>
      </w:tr>
      <w:tr w:rsidR="002D0A1C" w14:paraId="5749BF9F"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BDEA780" w14:textId="77777777" w:rsidR="002D0A1C" w:rsidRDefault="00BE30C5">
            <w:pPr>
              <w:jc w:val="both"/>
              <w:rPr>
                <w:lang w:val="en-US"/>
              </w:rPr>
            </w:pPr>
            <w:r>
              <w:rPr>
                <w:b w:val="0"/>
                <w:bCs w:val="0"/>
                <w:lang w:val="en-US"/>
              </w:rPr>
              <w:t>NB</w:t>
            </w:r>
          </w:p>
        </w:tc>
        <w:tc>
          <w:tcPr>
            <w:tcW w:w="1000" w:type="dxa"/>
          </w:tcPr>
          <w:p w14:paraId="07CCB91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53E6385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420B70C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0,5377</w:t>
            </w:r>
          </w:p>
        </w:tc>
        <w:tc>
          <w:tcPr>
            <w:tcW w:w="850" w:type="dxa"/>
          </w:tcPr>
          <w:p w14:paraId="4BF1D3E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0,5682</w:t>
            </w:r>
          </w:p>
        </w:tc>
        <w:tc>
          <w:tcPr>
            <w:tcW w:w="1000" w:type="dxa"/>
          </w:tcPr>
          <w:p w14:paraId="175B812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0,353</w:t>
            </w:r>
          </w:p>
        </w:tc>
        <w:tc>
          <w:tcPr>
            <w:tcW w:w="1000" w:type="dxa"/>
          </w:tcPr>
          <w:p w14:paraId="2C76005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0,639</w:t>
            </w:r>
          </w:p>
        </w:tc>
        <w:tc>
          <w:tcPr>
            <w:tcW w:w="1750" w:type="dxa"/>
          </w:tcPr>
          <w:p w14:paraId="45F807A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5BC5B8A2"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43491492" w14:textId="77777777" w:rsidR="002D0A1C" w:rsidRDefault="00BE30C5">
            <w:pPr>
              <w:jc w:val="both"/>
              <w:rPr>
                <w:lang w:val="en-US"/>
              </w:rPr>
            </w:pPr>
            <w:r>
              <w:rPr>
                <w:b w:val="0"/>
                <w:bCs w:val="0"/>
                <w:lang w:val="en-US"/>
              </w:rPr>
              <w:t>NB</w:t>
            </w:r>
          </w:p>
        </w:tc>
        <w:tc>
          <w:tcPr>
            <w:tcW w:w="1000" w:type="dxa"/>
          </w:tcPr>
          <w:p w14:paraId="65A70EC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54EE33F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514D795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0,5329</w:t>
            </w:r>
          </w:p>
        </w:tc>
        <w:tc>
          <w:tcPr>
            <w:tcW w:w="850" w:type="dxa"/>
          </w:tcPr>
          <w:p w14:paraId="243568F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0,5651</w:t>
            </w:r>
          </w:p>
        </w:tc>
        <w:tc>
          <w:tcPr>
            <w:tcW w:w="1000" w:type="dxa"/>
          </w:tcPr>
          <w:p w14:paraId="3009459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0,341</w:t>
            </w:r>
          </w:p>
        </w:tc>
        <w:tc>
          <w:tcPr>
            <w:tcW w:w="1000" w:type="dxa"/>
          </w:tcPr>
          <w:p w14:paraId="6EC08F7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0,632</w:t>
            </w:r>
          </w:p>
        </w:tc>
        <w:tc>
          <w:tcPr>
            <w:tcW w:w="1750" w:type="dxa"/>
          </w:tcPr>
          <w:p w14:paraId="6C4CDCF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0,626</w:t>
            </w:r>
          </w:p>
        </w:tc>
      </w:tr>
      <w:tr w:rsidR="002D0A1C" w14:paraId="39C5238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B491503" w14:textId="77777777" w:rsidR="002D0A1C" w:rsidRDefault="00BE30C5">
            <w:pPr>
              <w:jc w:val="both"/>
              <w:rPr>
                <w:lang w:val="en-US"/>
              </w:rPr>
            </w:pPr>
            <w:r>
              <w:rPr>
                <w:b w:val="0"/>
                <w:bCs w:val="0"/>
                <w:lang w:val="en-US"/>
              </w:rPr>
              <w:t>NB</w:t>
            </w:r>
          </w:p>
        </w:tc>
        <w:tc>
          <w:tcPr>
            <w:tcW w:w="1000" w:type="dxa"/>
          </w:tcPr>
          <w:p w14:paraId="4DB7FF1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6C1D78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7575CBB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0,5437</w:t>
            </w:r>
          </w:p>
        </w:tc>
        <w:tc>
          <w:tcPr>
            <w:tcW w:w="850" w:type="dxa"/>
          </w:tcPr>
          <w:p w14:paraId="43148FA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0,5811</w:t>
            </w:r>
          </w:p>
        </w:tc>
        <w:tc>
          <w:tcPr>
            <w:tcW w:w="1000" w:type="dxa"/>
          </w:tcPr>
          <w:p w14:paraId="06D8F79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0,340</w:t>
            </w:r>
          </w:p>
        </w:tc>
        <w:tc>
          <w:tcPr>
            <w:tcW w:w="1000" w:type="dxa"/>
          </w:tcPr>
          <w:p w14:paraId="4C9EBBC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0,658</w:t>
            </w:r>
          </w:p>
        </w:tc>
        <w:tc>
          <w:tcPr>
            <w:tcW w:w="1750" w:type="dxa"/>
          </w:tcPr>
          <w:p w14:paraId="0096F1C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0,633</w:t>
            </w:r>
          </w:p>
        </w:tc>
      </w:tr>
      <w:tr w:rsidR="002D0A1C" w14:paraId="60AF1685"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AF09E2D" w14:textId="77777777" w:rsidR="002D0A1C" w:rsidRDefault="00BE30C5">
            <w:pPr>
              <w:jc w:val="both"/>
              <w:rPr>
                <w:lang w:val="en-US"/>
              </w:rPr>
            </w:pPr>
            <w:r>
              <w:rPr>
                <w:b w:val="0"/>
                <w:bCs w:val="0"/>
                <w:lang w:val="en-US"/>
              </w:rPr>
              <w:t>NB</w:t>
            </w:r>
          </w:p>
        </w:tc>
        <w:tc>
          <w:tcPr>
            <w:tcW w:w="1000" w:type="dxa"/>
          </w:tcPr>
          <w:p w14:paraId="5BF1092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48F7F63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6BADF49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0,5377</w:t>
            </w:r>
          </w:p>
        </w:tc>
        <w:tc>
          <w:tcPr>
            <w:tcW w:w="850" w:type="dxa"/>
          </w:tcPr>
          <w:p w14:paraId="0B8D702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0,5682</w:t>
            </w:r>
          </w:p>
        </w:tc>
        <w:tc>
          <w:tcPr>
            <w:tcW w:w="1000" w:type="dxa"/>
          </w:tcPr>
          <w:p w14:paraId="4C13F7E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0,353</w:t>
            </w:r>
          </w:p>
        </w:tc>
        <w:tc>
          <w:tcPr>
            <w:tcW w:w="1000" w:type="dxa"/>
          </w:tcPr>
          <w:p w14:paraId="351A6F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0,639</w:t>
            </w:r>
          </w:p>
        </w:tc>
        <w:tc>
          <w:tcPr>
            <w:tcW w:w="1750" w:type="dxa"/>
          </w:tcPr>
          <w:p w14:paraId="5235454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0,622</w:t>
            </w:r>
          </w:p>
        </w:tc>
      </w:tr>
      <w:tr w:rsidR="002D0A1C" w14:paraId="0C120E9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37FFDDD5" w14:textId="77777777" w:rsidR="002D0A1C" w:rsidRDefault="00BE30C5">
            <w:pPr>
              <w:jc w:val="both"/>
              <w:rPr>
                <w:lang w:val="en-US"/>
              </w:rPr>
            </w:pPr>
            <w:r>
              <w:rPr>
                <w:b w:val="0"/>
                <w:bCs w:val="0"/>
                <w:lang w:val="en-US"/>
              </w:rPr>
              <w:t>NB</w:t>
            </w:r>
          </w:p>
        </w:tc>
        <w:tc>
          <w:tcPr>
            <w:tcW w:w="1000" w:type="dxa"/>
          </w:tcPr>
          <w:p w14:paraId="6DEE155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61B55FB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06265A8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0,5389</w:t>
            </w:r>
          </w:p>
        </w:tc>
        <w:tc>
          <w:tcPr>
            <w:tcW w:w="850" w:type="dxa"/>
          </w:tcPr>
          <w:p w14:paraId="086BE5D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0,5665</w:t>
            </w:r>
          </w:p>
        </w:tc>
        <w:tc>
          <w:tcPr>
            <w:tcW w:w="1000" w:type="dxa"/>
          </w:tcPr>
          <w:p w14:paraId="2E5CC85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0,363</w:t>
            </w:r>
          </w:p>
        </w:tc>
        <w:tc>
          <w:tcPr>
            <w:tcW w:w="1000" w:type="dxa"/>
          </w:tcPr>
          <w:p w14:paraId="387F632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0,637</w:t>
            </w:r>
          </w:p>
        </w:tc>
        <w:tc>
          <w:tcPr>
            <w:tcW w:w="1750" w:type="dxa"/>
          </w:tcPr>
          <w:p w14:paraId="0A0C11C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0,617</w:t>
            </w:r>
          </w:p>
        </w:tc>
      </w:tr>
    </w:tbl>
    <w:p w14:paraId="2BC6FC98" w14:textId="77777777" w:rsidR="002D0A1C" w:rsidRDefault="002D0A1C">
      <w:pPr>
        <w:jc w:val="both"/>
        <w:rPr>
          <w:lang w:val="en-US"/>
        </w:rPr>
      </w:pPr>
    </w:p>
    <w:p w14:paraId="0BD5141C" w14:textId="77777777" w:rsidR="002D0A1C" w:rsidRDefault="00BE30C5">
      <w:pPr>
        <w:ind w:firstLine="720"/>
        <w:jc w:val="both"/>
        <w:rPr>
          <w:lang w:val="sr-Cyrl-RS"/>
        </w:rPr>
      </w:pPr>
      <w:r>
        <w:rPr>
          <w:lang w:val="sr-Cyrl-RS"/>
        </w:rPr>
        <w:t xml:space="preserve">За LR и SVM модел тренутна конфигурација (унигрaми и бигрaми, min_df=2, max_df=0,95) остаје најбоља или практично изједначена са најближом алтернативом — код SVM модела разлика у односу на конфигурацију без филтрирања износи свега 0,0002 macro-F1 поена. Додавање тригрaма није донело доследно побољшање ни код једног модела. Код Naive Bayes модела уочен је другачији образац: чисти унигрaми (macro-F1 = 0,5440) и изостанак филтрирања (macro-F1 = 0,5437) незнатно су надмашили тренутну конфигурацију (macro-F1 = 0,5377), за отприлике 0,006–0,007 поена, што сугерише да овај модел у мањој мери профитира од укључивања бигрaма. Строже филтрирање речника (min_df=5, max_df=0,90) доследно је погоршавало резултате код сва три модела, за 0,02 до 0,04 macro-F1 поена у односу на тренутну конфигурацију, те се не препоручује за даљу употребу. На основу изнетог, тренутна конфигурација задржана је као подразумевана за </w:t>
        <w:lastRenderedPageBreak/>
        <w:t>сва три модела ради конзистентности, при чему унигрaм-варијанта за Naive Bayes остаје напоменута као алтернатива од секундарног значаја.</w:t>
      </w:r>
    </w:p>
    <w:p w14:paraId="08713531" w14:textId="77777777" w:rsidR="002D0A1C" w:rsidRDefault="002D0A1C">
      <w:pPr>
        <w:jc w:val="both"/>
        <w:rPr>
          <w:lang w:val="en-US"/>
        </w:rPr>
      </w:pPr>
    </w:p>
    <w:p w14:paraId="7A12430F" w14:textId="77777777" w:rsidR="00767836" w:rsidRDefault="00767836" w:rsidP="00767836">
      <w:pPr>
        <w:pStyle w:val="Heading3"/>
        <w:rPr>
          <w:lang w:val="sr-Cyrl-RS"/>
        </w:rPr>
      </w:pPr>
      <w:bookmarkStart w:id="20" w:name="_Toc238481661"/>
      <w:r>
        <w:rPr>
          <w:rFonts w:ascii="Times New Roman" w:hAnsi="Times New Roman" w:cs="Times New Roman"/>
          <w:color w:val="auto"/>
          <w:sz w:val="32"/>
          <w:lang w:val="sr-Cyrl-RS"/>
        </w:rPr>
        <w:t>3.1.5</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0"/>
    </w:p>
    <w:p w14:paraId="29A38160" w14:textId="77777777" w:rsidR="00767836" w:rsidRPr="00D942EA" w:rsidRDefault="00767836" w:rsidP="00767836">
      <w:pPr>
        <w:jc w:val="both"/>
        <w:rPr>
          <w:lang w:val="en-US"/>
        </w:rPr>
      </w:pPr>
    </w:p>
    <w:p w14:paraId="00A6FB26" w14:textId="77777777" w:rsidR="00D942EA" w:rsidRDefault="00D942EA" w:rsidP="00D942EA">
      <w:pPr>
        <w:ind w:firstLine="720"/>
        <w:jc w:val="both"/>
        <w:rPr>
          <w:lang w:val="en-US"/>
        </w:rPr>
      </w:pPr>
      <w:r>
        <w:rPr>
          <w:i/>
          <w:iCs/>
          <w:lang w:val="en-US"/>
        </w:rPr>
        <w:t>Baseline</w:t>
      </w:r>
      <w:r>
        <w:rPr>
          <w:lang w:val="en-US"/>
        </w:rPr>
        <w:t xml:space="preserve"> експерименти показују да једноставни модели засновани на статистичким карактеристикама текста могу да обезбеде релативно солидну основу за задатак класификације става. Од 54 испитане конфигурације (LR, SVM и NB × TF/IDF/TF-IDF × lowercasing × none/stem/lemma), најбољи резултат остварила је логистичка регресија са комбинацијом TF + stemming (macro-F1 = 0,5532, accuracy = 0,5825). Близу су и најбољи SVM (0,5475) и NB (0,5377), што сугерише да на овом скупу избор репрезентације и претпроцесирања често има подједнак, ако не и већи утицај од самог избора класификатора.</w:t>
      </w:r>
    </w:p>
    <w:p w14:paraId="20FD87EB" w14:textId="77777777" w:rsidR="006A2BB4" w:rsidRPr="00D942EA" w:rsidRDefault="006A2BB4" w:rsidP="00D942EA">
      <w:pPr>
        <w:ind w:firstLine="720"/>
        <w:jc w:val="both"/>
        <w:rPr>
          <w:lang w:val="en-US"/>
        </w:rPr>
      </w:pPr>
    </w:p>
    <w:p w14:paraId="3954152B" w14:textId="77777777" w:rsidR="00D942EA" w:rsidRDefault="00D942EA" w:rsidP="00D942EA">
      <w:pPr>
        <w:ind w:firstLine="720"/>
        <w:jc w:val="both"/>
        <w:rPr>
          <w:lang w:val="en-US"/>
        </w:rPr>
      </w:pPr>
      <w:r>
        <w:rPr>
          <w:lang w:val="en-US"/>
        </w:rPr>
        <w:t>Посебно је важно да није оправдано претпоставити да ће TF-IDF нужно бити најбоља репрезентација. У посматраном скупу TF је имао најбољи просечан macro-F1 (0,5217), испред IDF (0,5158) и TF-IDF (0,5132). То се може повезати са специфичностима кратких коментара на друштвеним мрежама: у таквим текстовима учесталост појединих речи и израза често директније указује на став аутора, док IDF/TF-IDF казна за „честе“ термине не мора увек да помогне када је контекст већ ограничен.</w:t>
      </w:r>
    </w:p>
    <w:p w14:paraId="69BCECF2" w14:textId="77777777" w:rsidR="006A2BB4" w:rsidRPr="00D942EA" w:rsidRDefault="006A2BB4" w:rsidP="00D942EA">
      <w:pPr>
        <w:ind w:firstLine="720"/>
        <w:jc w:val="both"/>
        <w:rPr>
          <w:lang w:val="en-US"/>
        </w:rPr>
      </w:pPr>
    </w:p>
    <w:p w14:paraId="0FDAEBAA" w14:textId="77777777" w:rsidR="00D942EA" w:rsidRDefault="00D942EA" w:rsidP="00D942EA">
      <w:pPr>
        <w:ind w:firstLine="720"/>
        <w:jc w:val="both"/>
        <w:rPr>
          <w:lang w:val="en-US"/>
        </w:rPr>
      </w:pPr>
      <w:r>
        <w:rPr>
          <w:lang w:val="en-US"/>
        </w:rPr>
        <w:t>Још израженији је утицај нормализације токена. Стемовање јасно надмашује lemma и варијанту без нормализације (просечан macro-F1: stem 0,5379; lemma 0,5125; none 0,5004). Позитиван утицај stemming-а указује на значај језички прилагођеног претпроцесирања: код кратких коментара различити морфолошки облици исте речи могу носити исти сигнал класе, па њихово свођење на заједничку основу повећава ефективну количину информација доступну класификатору. Lowercasing даје благу додатну предност, али његов ефекат је мањи од ефекта стемовања.</w:t>
      </w:r>
    </w:p>
    <w:p w14:paraId="5C8F93E0" w14:textId="77777777" w:rsidR="006A2BB4" w:rsidRPr="00D942EA" w:rsidRDefault="006A2BB4" w:rsidP="00D942EA">
      <w:pPr>
        <w:ind w:firstLine="720"/>
        <w:jc w:val="both"/>
        <w:rPr>
          <w:lang w:val="en-US"/>
        </w:rPr>
      </w:pPr>
    </w:p>
    <w:p w14:paraId="0B28DE48" w14:textId="77777777" w:rsidR="00D942EA" w:rsidRDefault="00D942EA" w:rsidP="00D942EA">
      <w:pPr>
        <w:ind w:firstLine="720"/>
        <w:jc w:val="both"/>
        <w:rPr>
          <w:lang w:val="en-US"/>
        </w:rPr>
      </w:pPr>
      <w:r>
        <w:rPr>
          <w:lang w:val="en-US"/>
        </w:rPr>
        <w:t xml:space="preserve">Са друге стране, веома низак F1 за класу NEUTRAL (≈ 0,38 код победничке конфигурације, наспрам ≈ 0,63–0,65 за ZA-VLAST и PROTIV-VLASTI) показује да класични модели имају потешкоћа у раздвајању неутралних коментара од оних који имплицитно или експлицитно изражавају став. Овај проблем је посебно изражен код кратких текстова, где је контекст ограничен, а став често није директно исказан. Исти образац се понавља и код најбољих конфигурација свих три модела, што сугерише да је реч о ограничењу саме </w:t>
      </w:r>
      <w:r>
        <w:rPr>
          <w:i/>
          <w:iCs/>
          <w:lang w:val="en-US"/>
        </w:rPr>
        <w:t>bag-of-words</w:t>
      </w:r>
      <w:r>
        <w:rPr>
          <w:lang w:val="en-US"/>
        </w:rPr>
        <w:t xml:space="preserve"> репрезентације, а не само о слабости једног класификатора.</w:t>
      </w:r>
    </w:p>
    <w:p w14:paraId="39E424D5" w14:textId="77777777" w:rsidR="006A2BB4" w:rsidRPr="00D942EA" w:rsidRDefault="006A2BB4" w:rsidP="00D942EA">
      <w:pPr>
        <w:ind w:firstLine="720"/>
        <w:jc w:val="both"/>
        <w:rPr>
          <w:lang w:val="en-US"/>
        </w:rPr>
      </w:pPr>
    </w:p>
    <w:p w14:paraId="0065CD75" w14:textId="77777777" w:rsidR="00D942EA" w:rsidRDefault="00D942EA" w:rsidP="00D942EA">
      <w:pPr>
        <w:ind w:firstLine="720"/>
        <w:jc w:val="both"/>
        <w:rPr>
          <w:lang w:val="en-US"/>
        </w:rPr>
      </w:pPr>
      <w:r>
        <w:rPr>
          <w:lang w:val="en-US"/>
        </w:rPr>
        <w:t>Распон између најбоље и најслабије конфигурације (≈ 0,089 поена macro-F1) даље потврђује да су избори у претпроцесирању практично битни: лоша комбинација фактора може значајно ослабити иначе употребљив модел. Истовремено, чињеница да врх листе чине конфигурације са stem-ом говори да је тај фактор најстабилнији „добитник“ експеримента.</w:t>
      </w:r>
    </w:p>
    <w:p w14:paraId="5C87BF51" w14:textId="77777777" w:rsidR="006A2BB4" w:rsidRPr="00D942EA" w:rsidRDefault="006A2BB4" w:rsidP="00D942EA">
      <w:pPr>
        <w:ind w:firstLine="720"/>
        <w:jc w:val="both"/>
        <w:rPr>
          <w:lang w:val="en-US"/>
        </w:rPr>
      </w:pPr>
    </w:p>
    <w:p w14:paraId="1B8DE917" w14:textId="3ACA1CDF" w:rsidR="007C3E0F" w:rsidRPr="00845651" w:rsidRDefault="00D942EA" w:rsidP="00845651">
      <w:pPr>
        <w:ind w:firstLine="720"/>
        <w:jc w:val="both"/>
        <w:rPr>
          <w:lang w:val="en-US"/>
        </w:rPr>
      </w:pPr>
      <w:r>
        <w:rPr>
          <w:lang w:val="en-US"/>
        </w:rPr>
        <w:lastRenderedPageBreak/>
        <w:t xml:space="preserve">Укупно, </w:t>
      </w:r>
      <w:r>
        <w:rPr>
          <w:i/>
          <w:iCs/>
          <w:lang w:val="en-US"/>
        </w:rPr>
        <w:t>baseline</w:t>
      </w:r>
      <w:r>
        <w:rPr>
          <w:lang w:val="en-US"/>
        </w:rPr>
        <w:t xml:space="preserve"> резултат од macro-F1 = 0,5532 представља референтну (доњу) границу за наредне експерименте. У наставку се испитује да ли </w:t>
      </w:r>
      <w:r>
        <w:rPr>
          <w:i/>
          <w:iCs/>
          <w:lang w:val="en-US"/>
        </w:rPr>
        <w:t>Transformer</w:t>
      </w:r>
      <w:r>
        <w:rPr>
          <w:lang w:val="en-US"/>
        </w:rPr>
        <w:t xml:space="preserve"> енкодери (BERTić и mBERT), који могу да искористе контекстуалне односе између речи, могу да превазиђу ограничења класич</w:t>
      </w:r>
      <w:r>
        <w:rPr>
          <w:lang w:val="sr-Cyrl-RS"/>
        </w:rPr>
        <w:t>них приступа.</w:t>
      </w:r>
    </w:p>
    <w:p>
      <w:pPr>
        <w:pStyle w:val="Heading1"/>
        <w:spacing w:after="160" w:before="300"/>
      </w:pPr>
      <w:r>
        <w:rPr>
          <w:rFonts w:ascii="Times New Roman" w:cs="Times New Roman" w:eastAsia="Times New Roman" w:hAnsi="Times New Roman"/>
          <w:b/>
          <w:bCs/>
          <w:color w:val="000000"/>
          <w:sz w:val="32"/>
          <w:szCs w:val="32"/>
        </w:rPr>
        <w:t xml:space="preserve">3.2. Енкодер</w:t>
      </w:r>
    </w:p>
    <w:p>
      <w:pPr>
        <w:spacing w:after="200"/>
        <w:jc w:val="both"/>
      </w:pPr>
      <w:r>
        <w:rPr>
          <w:rFonts w:ascii="Times New Roman" w:cs="Times New Roman" w:eastAsia="Times New Roman" w:hAnsi="Times New Roman"/>
          <w:color w:val="000000"/>
        </w:rPr>
        <w:t xml:space="preserve">Циљ енкодер приступа је испитивање могућности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модела да науче контекстуалне представе кратких коментара и на тај начин унапреде класификацију става у односу на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 моделе (најбољи macro-F1 = 0,5532). За разлику од класичних приступа, код којих се текст представља независним статистичким карактеристикама,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модел током </w:t>
      </w:r>
      <w:r>
        <w:rPr>
          <w:rFonts w:ascii="Times New Roman" w:cs="Times New Roman" w:eastAsia="Times New Roman" w:hAnsi="Times New Roman"/>
          <w:b w:val="false"/>
          <w:bCs w:val="false"/>
          <w:i/>
          <w:iCs/>
          <w:color w:val="000000"/>
        </w:rPr>
        <w:t xml:space="preserve">fine-tuning</w:t>
      </w:r>
      <w:r>
        <w:rPr>
          <w:rFonts w:ascii="Times New Roman" w:cs="Times New Roman" w:eastAsia="Times New Roman" w:hAnsi="Times New Roman"/>
          <w:color w:val="000000"/>
        </w:rPr>
        <w:t xml:space="preserve">-а учи репрезентацију текста која узима у обзир контекст и односе између токена. Циљ је двострук: упоредити монолингвални BCMS модел са мултилингвалним BERT-ом и измерити добитак у односу на класични ML.</w:t>
      </w:r>
    </w:p>
    <w:p>
      <w:pPr>
        <w:pStyle w:val="Heading2"/>
        <w:spacing w:after="160" w:before="300"/>
      </w:pPr>
      <w:r>
        <w:rPr>
          <w:rFonts w:ascii="Times New Roman" w:cs="Times New Roman" w:eastAsia="Times New Roman" w:hAnsi="Times New Roman"/>
          <w:b/>
          <w:bCs/>
          <w:color w:val="000000"/>
          <w:sz w:val="28"/>
          <w:szCs w:val="28"/>
        </w:rPr>
        <w:t xml:space="preserve">3.2.1. Модели</w:t>
      </w:r>
    </w:p>
    <w:p>
      <w:pPr>
        <w:spacing w:after="200"/>
        <w:jc w:val="both"/>
      </w:pPr>
      <w:r>
        <w:rPr>
          <w:rFonts w:ascii="Times New Roman" w:cs="Times New Roman" w:eastAsia="Times New Roman" w:hAnsi="Times New Roman"/>
          <w:color w:val="000000"/>
        </w:rPr>
        <w:t xml:space="preserve">У експерименту су упоређена два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модела: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односно </w:t>
      </w:r>
      <w:r>
        <w:rPr>
          <w:rFonts w:ascii="Times New Roman" w:cs="Times New Roman" w:eastAsia="Times New Roman" w:hAnsi="Times New Roman"/>
          <w:b w:val="false"/>
          <w:bCs w:val="false"/>
          <w:i/>
          <w:iCs/>
          <w:color w:val="000000"/>
        </w:rPr>
        <w:t xml:space="preserve">classla/bcms-bertic</w:t>
      </w:r>
      <w:r>
        <w:rPr>
          <w:rFonts w:ascii="Times New Roman" w:cs="Times New Roman" w:eastAsia="Times New Roman" w:hAnsi="Times New Roman"/>
          <w:color w:val="000000"/>
        </w:rPr>
        <w:t xml:space="preserve">, и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односно </w:t>
      </w:r>
      <w:r>
        <w:rPr>
          <w:rFonts w:ascii="Times New Roman" w:cs="Times New Roman" w:eastAsia="Times New Roman" w:hAnsi="Times New Roman"/>
          <w:b w:val="false"/>
          <w:bCs w:val="false"/>
          <w:i/>
          <w:iCs/>
          <w:color w:val="000000"/>
        </w:rPr>
        <w:t xml:space="preserve">bert-base-multilingual-cased</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представља модел прилагођен BCMS језичком простору, док је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мултилингвални модел обучен на већем броју језика. Поређењем ова два приступа испитује се да ли језички специфични модел, обучен за језички простор који обухвата српски језик, пружа предност у односу на општији мултилингвални модел.</w:t>
      </w:r>
    </w:p>
    <w:p>
      <w:pPr>
        <w:spacing w:after="200"/>
        <w:jc w:val="both"/>
      </w:pPr>
      <w:r>
        <w:rPr>
          <w:rFonts w:ascii="Times New Roman" w:cs="Times New Roman" w:eastAsia="Times New Roman" w:hAnsi="Times New Roman"/>
          <w:b/>
          <w:bCs/>
          <w:i w:val="false"/>
          <w:iCs w:val="false"/>
          <w:color w:val="000000"/>
        </w:rPr>
        <w:t xml:space="preserve">Хипотеза</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боље моделује локални идиом;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нуди ширу мултилингвалну репрезентацију, али мање специјализације за српски/BCMS.</w:t>
      </w:r>
    </w:p>
    <w:p>
      <w:pPr>
        <w:pStyle w:val="Heading2"/>
        <w:spacing w:after="160" w:before="300"/>
      </w:pPr>
      <w:r>
        <w:rPr>
          <w:rFonts w:ascii="Times New Roman" w:cs="Times New Roman" w:eastAsia="Times New Roman" w:hAnsi="Times New Roman"/>
          <w:b/>
          <w:bCs/>
          <w:color w:val="000000"/>
          <w:sz w:val="28"/>
          <w:szCs w:val="28"/>
        </w:rPr>
        <w:t xml:space="preserve">3.2.2. Поставка и хиперпараметри</w:t>
      </w:r>
    </w:p>
    <w:p>
      <w:pPr>
        <w:spacing w:after="200"/>
        <w:jc w:val="both"/>
      </w:pPr>
      <w:r>
        <w:rPr>
          <w:rFonts w:ascii="Times New Roman" w:cs="Times New Roman" w:eastAsia="Times New Roman" w:hAnsi="Times New Roman"/>
          <w:color w:val="000000"/>
        </w:rPr>
        <w:t xml:space="preserve">Оба модела су обучавана под истим условима како би њихово поређење било што коректније. За </w:t>
      </w:r>
      <w:r>
        <w:rPr>
          <w:rFonts w:ascii="Times New Roman" w:cs="Times New Roman" w:eastAsia="Times New Roman" w:hAnsi="Times New Roman"/>
          <w:b w:val="false"/>
          <w:bCs w:val="false"/>
          <w:i/>
          <w:iCs/>
          <w:color w:val="000000"/>
        </w:rPr>
        <w:t xml:space="preserve">fine-tuning</w:t>
      </w:r>
      <w:r>
        <w:rPr>
          <w:rFonts w:ascii="Times New Roman" w:cs="Times New Roman" w:eastAsia="Times New Roman" w:hAnsi="Times New Roman"/>
          <w:color w:val="000000"/>
        </w:rPr>
        <w:t xml:space="preserve"> је коришћен </w:t>
      </w:r>
      <w:r>
        <w:rPr>
          <w:rFonts w:ascii="Times New Roman" w:cs="Times New Roman" w:eastAsia="Times New Roman" w:hAnsi="Times New Roman"/>
          <w:b w:val="false"/>
          <w:bCs w:val="false"/>
          <w:i/>
          <w:iCs/>
          <w:color w:val="000000"/>
        </w:rPr>
        <w:t xml:space="preserve">Hugging Face Trainer</w:t>
      </w:r>
      <w:r>
        <w:rPr>
          <w:rFonts w:ascii="Times New Roman" w:cs="Times New Roman" w:eastAsia="Times New Roman" w:hAnsi="Times New Roman"/>
          <w:color w:val="000000"/>
        </w:rPr>
        <w:t xml:space="preserve">. Коришћени су и </w:t>
      </w:r>
      <w:r>
        <w:rPr>
          <w:rFonts w:ascii="Times New Roman" w:cs="Times New Roman" w:eastAsia="Times New Roman" w:hAnsi="Times New Roman"/>
          <w:b w:val="false"/>
          <w:bCs w:val="false"/>
          <w:i/>
          <w:iCs/>
          <w:color w:val="000000"/>
        </w:rPr>
        <w:t xml:space="preserve">weight decay</w:t>
      </w:r>
      <w:r>
        <w:rPr>
          <w:rFonts w:ascii="Times New Roman" w:cs="Times New Roman" w:eastAsia="Times New Roman" w:hAnsi="Times New Roman"/>
          <w:color w:val="000000"/>
        </w:rPr>
        <w:t xml:space="preserve"> од 0,01 и </w:t>
      </w:r>
      <w:r>
        <w:rPr>
          <w:rFonts w:ascii="Times New Roman" w:cs="Times New Roman" w:eastAsia="Times New Roman" w:hAnsi="Times New Roman"/>
          <w:b w:val="false"/>
          <w:bCs w:val="false"/>
          <w:i/>
          <w:iCs/>
          <w:color w:val="000000"/>
        </w:rPr>
        <w:t xml:space="preserve">warmup ratio</w:t>
      </w:r>
      <w:r>
        <w:rPr>
          <w:rFonts w:ascii="Times New Roman" w:cs="Times New Roman" w:eastAsia="Times New Roman" w:hAnsi="Times New Roman"/>
          <w:color w:val="000000"/>
        </w:rPr>
        <w:t xml:space="preserve"> од 0,1. Обука се извршава на CUDA уколико је доступна. У Табели 3.2 дати су коришћени хиперпараметри. После CV-а сваки модел се још једном тренира на целом скупу и чува за инференцу.</w:t>
      </w:r>
    </w:p>
    <w:p>
      <w:pPr>
        <w:spacing w:after="200"/>
        <w:jc w:val="both"/>
      </w:pPr>
      <w:r>
        <w:rPr>
          <w:rFonts w:ascii="Times New Roman" w:cs="Times New Roman" w:eastAsia="Times New Roman" w:hAnsi="Times New Roman"/>
          <w:color w:val="000000"/>
        </w:rPr>
        <w:t xml:space="preserve">Поред основне конфигурације, за сваки модел је тестирана и варијанта са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у функцији губитка (</w:t>
      </w:r>
      <w:r>
        <w:rPr>
          <w:rFonts w:ascii="Times New Roman" w:cs="Times New Roman" w:eastAsia="Times New Roman" w:hAnsi="Times New Roman"/>
          <w:b w:val="false"/>
          <w:bCs w:val="false"/>
          <w:i/>
          <w:iCs/>
          <w:color w:val="000000"/>
        </w:rPr>
        <w:t xml:space="preserve">weighted cross-entropy</w:t>
      </w:r>
      <w:r>
        <w:rPr>
          <w:rFonts w:ascii="Times New Roman" w:cs="Times New Roman" w:eastAsia="Times New Roman" w:hAnsi="Times New Roman"/>
          <w:color w:val="000000"/>
        </w:rPr>
        <w:t xml:space="preserve">), чиме је добијено укупно четири конфигурације: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и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Циљ увођења тежина је ублажавање неуравнотежености скупа, с обзиром на то да је класа NEUTRAL знатно мање заступљена од преостале две.</w:t>
      </w:r>
    </w:p>
    <w:p>
      <w:pPr>
        <w:spacing w:after="240" w:before="80"/>
        <w:jc w:val="center"/>
      </w:pPr>
      <w:r>
        <w:rPr>
          <w:rFonts w:ascii="Times New Roman" w:cs="Times New Roman" w:eastAsia="Times New Roman" w:hAnsi="Times New Roman"/>
          <w:i/>
          <w:iCs/>
          <w:color w:val="000000"/>
          <w:sz w:val="20"/>
          <w:szCs w:val="20"/>
        </w:rPr>
        <w:t xml:space="preserve">Табела 3.2 Хиперпараметри енкодер модела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val="clear"/>
            <w:vAlign w:val="center"/>
          </w:tcPr>
          <w:p>
            <w:pPr>
              <w:jc w:val="center"/>
            </w:pPr>
            <w:r>
              <w:rPr>
                <w:rFonts w:ascii="Times New Roman" w:cs="Times New Roman" w:eastAsia="Times New Roman" w:hAnsi="Times New Roman"/>
                <w:b/>
                <w:bCs/>
                <w:color w:val="000000"/>
              </w:rPr>
              <w:t xml:space="preserve">Хиперпараметар</w:t>
            </w:r>
          </w:p>
        </w:tc>
        <w:tc>
          <w:tcPr>
            <w:tcW w:type="dxa" w:w="4500"/>
            <w:shd w:fill="D9D9D9" w:val="clear"/>
            <w:vAlign w:val="center"/>
          </w:tcPr>
          <w:p>
            <w:pPr>
              <w:jc w:val="center"/>
            </w:pPr>
            <w:r>
              <w:rPr>
                <w:rFonts w:ascii="Times New Roman" w:cs="Times New Roman" w:eastAsia="Times New Roman" w:hAnsi="Times New Roman"/>
                <w:b/>
                <w:bCs/>
                <w:color w:val="000000"/>
              </w:rPr>
              <w:t xml:space="preserve">Вредност</w:t>
            </w:r>
          </w:p>
        </w:tc>
      </w:tr>
      <w:tr>
        <w:tc>
          <w:tcPr>
            <w:tcW w:type="dxa" w:w="4500"/>
            <w:vAlign w:val="center"/>
          </w:tcPr>
          <w:p>
            <w:pPr>
              <w:jc w:val="left"/>
            </w:pPr>
            <w:r>
              <w:rPr>
                <w:rFonts w:ascii="Times New Roman" w:cs="Times New Roman" w:eastAsia="Times New Roman" w:hAnsi="Times New Roman"/>
                <w:b w:val="false"/>
                <w:bCs w:val="false"/>
                <w:color w:val="000000"/>
              </w:rPr>
              <w:t xml:space="preserve">Епохе</w:t>
            </w:r>
          </w:p>
        </w:tc>
        <w:tc>
          <w:tcPr>
            <w:tcW w:type="dxa" w:w="4500"/>
            <w:vAlign w:val="center"/>
          </w:tcPr>
          <w:p>
            <w:pPr>
              <w:jc w:val="left"/>
            </w:pPr>
            <w:r>
              <w:rPr>
                <w:rFonts w:ascii="Times New Roman" w:cs="Times New Roman" w:eastAsia="Times New Roman" w:hAnsi="Times New Roman"/>
                <w:b w:val="false"/>
                <w:bCs w:val="false"/>
                <w:color w:val="000000"/>
              </w:rPr>
              <w:t xml:space="preserve">5</w:t>
            </w:r>
          </w:p>
        </w:tc>
      </w:tr>
      <w:tr>
        <w:tc>
          <w:tcPr>
            <w:tcW w:type="dxa" w:w="4500"/>
            <w:vAlign w:val="center"/>
          </w:tcPr>
          <w:p>
            <w:pPr>
              <w:jc w:val="left"/>
            </w:pPr>
            <w:r>
              <w:rPr>
                <w:rFonts w:ascii="Times New Roman" w:cs="Times New Roman" w:eastAsia="Times New Roman" w:hAnsi="Times New Roman"/>
                <w:b w:val="false"/>
                <w:bCs w:val="false"/>
                <w:color w:val="000000"/>
              </w:rPr>
              <w:t xml:space="preserve">Batch size</w:t>
            </w:r>
          </w:p>
        </w:tc>
        <w:tc>
          <w:tcPr>
            <w:tcW w:type="dxa" w:w="4500"/>
            <w:vAlign w:val="center"/>
          </w:tcPr>
          <w:p>
            <w:pPr>
              <w:jc w:val="left"/>
            </w:pPr>
            <w:r>
              <w:rPr>
                <w:rFonts w:ascii="Times New Roman" w:cs="Times New Roman" w:eastAsia="Times New Roman" w:hAnsi="Times New Roman"/>
                <w:b w:val="false"/>
                <w:bCs w:val="false"/>
                <w:color w:val="000000"/>
              </w:rPr>
              <w:t xml:space="preserve">8</w:t>
            </w:r>
          </w:p>
        </w:tc>
      </w:tr>
      <w:tr>
        <w:tc>
          <w:tcPr>
            <w:tcW w:type="dxa" w:w="4500"/>
            <w:vAlign w:val="center"/>
          </w:tcPr>
          <w:p>
            <w:pPr>
              <w:jc w:val="left"/>
            </w:pPr>
            <w:r>
              <w:rPr>
                <w:rFonts w:ascii="Times New Roman" w:cs="Times New Roman" w:eastAsia="Times New Roman" w:hAnsi="Times New Roman"/>
                <w:b w:val="false"/>
                <w:bCs w:val="false"/>
                <w:color w:val="000000"/>
              </w:rPr>
              <w:t xml:space="preserve">Learning rate</w:t>
            </w:r>
          </w:p>
        </w:tc>
        <w:tc>
          <w:tcPr>
            <w:tcW w:type="dxa" w:w="4500"/>
            <w:vAlign w:val="center"/>
          </w:tcPr>
          <w:p>
            <w:pPr>
              <w:jc w:val="left"/>
            </w:pPr>
            <w:r>
              <w:rPr>
                <w:rFonts w:ascii="Times New Roman" w:cs="Times New Roman" w:eastAsia="Times New Roman" w:hAnsi="Times New Roman"/>
                <w:b w:val="false"/>
                <w:bCs w:val="false"/>
                <w:color w:val="000000"/>
              </w:rPr>
              <w:t xml:space="preserve">2 × 10⁻⁵</w:t>
            </w:r>
          </w:p>
        </w:tc>
      </w:tr>
      <w:tr>
        <w:tc>
          <w:tcPr>
            <w:tcW w:type="dxa" w:w="4500"/>
            <w:vAlign w:val="center"/>
          </w:tcPr>
          <w:p>
            <w:pPr>
              <w:jc w:val="left"/>
            </w:pPr>
            <w:r>
              <w:rPr>
                <w:rFonts w:ascii="Times New Roman" w:cs="Times New Roman" w:eastAsia="Times New Roman" w:hAnsi="Times New Roman"/>
                <w:b w:val="false"/>
                <w:bCs w:val="false"/>
                <w:color w:val="000000"/>
              </w:rPr>
              <w:t xml:space="preserve">Max length</w:t>
            </w:r>
          </w:p>
        </w:tc>
        <w:tc>
          <w:tcPr>
            <w:tcW w:type="dxa" w:w="4500"/>
            <w:vAlign w:val="center"/>
          </w:tcPr>
          <w:p>
            <w:pPr>
              <w:jc w:val="left"/>
            </w:pPr>
            <w:r>
              <w:rPr>
                <w:rFonts w:ascii="Times New Roman" w:cs="Times New Roman" w:eastAsia="Times New Roman" w:hAnsi="Times New Roman"/>
                <w:b w:val="false"/>
                <w:bCs w:val="false"/>
                <w:color w:val="000000"/>
              </w:rPr>
              <w:t xml:space="preserve">128</w:t>
            </w:r>
          </w:p>
        </w:tc>
      </w:tr>
      <w:tr>
        <w:tc>
          <w:tcPr>
            <w:tcW w:type="dxa" w:w="4500"/>
            <w:vAlign w:val="center"/>
          </w:tcPr>
          <w:p>
            <w:pPr>
              <w:jc w:val="left"/>
            </w:pPr>
            <w:r>
              <w:rPr>
                <w:rFonts w:ascii="Times New Roman" w:cs="Times New Roman" w:eastAsia="Times New Roman" w:hAnsi="Times New Roman"/>
                <w:b w:val="false"/>
                <w:bCs w:val="false"/>
                <w:color w:val="000000"/>
              </w:rPr>
              <w:t xml:space="preserve">Weight decay</w:t>
            </w:r>
          </w:p>
        </w:tc>
        <w:tc>
          <w:tcPr>
            <w:tcW w:type="dxa" w:w="4500"/>
            <w:vAlign w:val="center"/>
          </w:tcPr>
          <w:p>
            <w:pPr>
              <w:jc w:val="left"/>
            </w:pPr>
            <w:r>
              <w:rPr>
                <w:rFonts w:ascii="Times New Roman" w:cs="Times New Roman" w:eastAsia="Times New Roman" w:hAnsi="Times New Roman"/>
                <w:b w:val="false"/>
                <w:bCs w:val="false"/>
                <w:color w:val="000000"/>
              </w:rPr>
              <w:t xml:space="preserve">0,01</w:t>
            </w:r>
          </w:p>
        </w:tc>
      </w:tr>
      <w:tr>
        <w:tc>
          <w:tcPr>
            <w:tcW w:type="dxa" w:w="4500"/>
            <w:vAlign w:val="center"/>
          </w:tcPr>
          <w:p>
            <w:pPr>
              <w:jc w:val="left"/>
            </w:pPr>
            <w:r>
              <w:rPr>
                <w:rFonts w:ascii="Times New Roman" w:cs="Times New Roman" w:eastAsia="Times New Roman" w:hAnsi="Times New Roman"/>
                <w:b w:val="false"/>
                <w:bCs w:val="false"/>
                <w:color w:val="000000"/>
              </w:rPr>
              <w:t xml:space="preserve">Warmup ratio</w:t>
            </w:r>
          </w:p>
        </w:tc>
        <w:tc>
          <w:tcPr>
            <w:tcW w:type="dxa" w:w="4500"/>
            <w:vAlign w:val="center"/>
          </w:tcPr>
          <w:p>
            <w:pPr>
              <w:jc w:val="left"/>
            </w:pPr>
            <w:r>
              <w:rPr>
                <w:rFonts w:ascii="Times New Roman" w:cs="Times New Roman" w:eastAsia="Times New Roman" w:hAnsi="Times New Roman"/>
                <w:b w:val="false"/>
                <w:bCs w:val="false"/>
                <w:color w:val="000000"/>
              </w:rPr>
              <w:t xml:space="preserve">0,1</w:t>
            </w:r>
          </w:p>
        </w:tc>
      </w:tr>
      <w:tr>
        <w:tc>
          <w:tcPr>
            <w:tcW w:type="dxa" w:w="4500"/>
            <w:vAlign w:val="center"/>
          </w:tcPr>
          <w:p>
            <w:pPr>
              <w:jc w:val="left"/>
            </w:pPr>
            <w:r>
              <w:rPr>
                <w:rFonts w:ascii="Times New Roman" w:cs="Times New Roman" w:eastAsia="Times New Roman" w:hAnsi="Times New Roman"/>
                <w:b w:val="false"/>
                <w:bCs w:val="false"/>
                <w:color w:val="000000"/>
              </w:rPr>
              <w:t xml:space="preserve">Евалуација</w:t>
            </w:r>
          </w:p>
        </w:tc>
        <w:tc>
          <w:tcPr>
            <w:tcW w:type="dxa" w:w="4500"/>
            <w:vAlign w:val="center"/>
          </w:tcPr>
          <w:p>
            <w:pPr>
              <w:jc w:val="left"/>
            </w:pPr>
            <w:r>
              <w:rPr>
                <w:rFonts w:ascii="Times New Roman" w:cs="Times New Roman" w:eastAsia="Times New Roman" w:hAnsi="Times New Roman"/>
                <w:b w:val="false"/>
                <w:bCs w:val="false"/>
                <w:color w:val="000000"/>
              </w:rPr>
              <w:t xml:space="preserve">Стратификована 10-fold CV</w:t>
            </w:r>
          </w:p>
        </w:tc>
      </w:tr>
      <w:tr>
        <w:tc>
          <w:tcPr>
            <w:tcW w:type="dxa" w:w="4500"/>
            <w:vAlign w:val="center"/>
          </w:tcPr>
          <w:p>
            <w:pPr>
              <w:jc w:val="left"/>
            </w:pPr>
            <w:r>
              <w:rPr>
                <w:rFonts w:ascii="Times New Roman" w:cs="Times New Roman" w:eastAsia="Times New Roman" w:hAnsi="Times New Roman"/>
                <w:b w:val="false"/>
                <w:bCs w:val="false"/>
                <w:color w:val="000000"/>
              </w:rPr>
              <w:t xml:space="preserve">Главна метрика</w:t>
            </w:r>
          </w:p>
        </w:tc>
        <w:tc>
          <w:tcPr>
            <w:tcW w:type="dxa" w:w="4500"/>
            <w:vAlign w:val="center"/>
          </w:tcPr>
          <w:p>
            <w:pPr>
              <w:jc w:val="left"/>
            </w:pPr>
            <w:r>
              <w:rPr>
                <w:rFonts w:ascii="Times New Roman" w:cs="Times New Roman" w:eastAsia="Times New Roman" w:hAnsi="Times New Roman"/>
                <w:b w:val="false"/>
                <w:bCs w:val="false"/>
                <w:color w:val="000000"/>
              </w:rPr>
              <w:t xml:space="preserve">Macro-F1</w:t>
            </w:r>
          </w:p>
        </w:tc>
      </w:tr>
    </w:tbl>
    <w:p>
      <w:pPr>
        <w:spacing w:after="200"/>
        <w:jc w:val="both"/>
      </w:pPr>
    </w:p>
    <w:p>
      <w:pPr>
        <w:spacing w:after="200"/>
        <w:jc w:val="both"/>
      </w:pPr>
      <w:r>
        <w:rPr>
          <w:rFonts w:ascii="Times New Roman" w:cs="Times New Roman" w:eastAsia="Times New Roman" w:hAnsi="Times New Roman"/>
          <w:color w:val="000000"/>
        </w:rPr>
        <w:t xml:space="preserve">Евалуација енкодер модела врши се применом стратификоване </w:t>
      </w:r>
      <w:r>
        <w:rPr>
          <w:rFonts w:ascii="Times New Roman" w:cs="Times New Roman" w:eastAsia="Times New Roman" w:hAnsi="Times New Roman"/>
          <w:b w:val="false"/>
          <w:bCs w:val="false"/>
          <w:i/>
          <w:iCs/>
          <w:color w:val="000000"/>
        </w:rPr>
        <w:t xml:space="preserve">10-fold cross-validation</w:t>
      </w:r>
      <w:r>
        <w:rPr>
          <w:rFonts w:ascii="Times New Roman" w:cs="Times New Roman" w:eastAsia="Times New Roman" w:hAnsi="Times New Roman"/>
          <w:color w:val="000000"/>
        </w:rPr>
        <w:t xml:space="preserve">. Стратификација обезбеђује да расподела три класе буде што сличнија у различитим fold-овима, што је посебно важно због неуравнотежености скупа. За разлику од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 приступа, где је </w:t>
      </w:r>
      <w:r>
        <w:rPr>
          <w:rFonts w:ascii="Times New Roman" w:cs="Times New Roman" w:eastAsia="Times New Roman" w:hAnsi="Times New Roman"/>
          <w:b w:val="false"/>
          <w:bCs w:val="false"/>
          <w:i/>
          <w:iCs/>
          <w:color w:val="000000"/>
        </w:rPr>
        <w:t xml:space="preserve">nested CV</w:t>
      </w:r>
      <w:r>
        <w:rPr>
          <w:rFonts w:ascii="Times New Roman" w:cs="Times New Roman" w:eastAsia="Times New Roman" w:hAnsi="Times New Roman"/>
          <w:color w:val="000000"/>
        </w:rPr>
        <w:t xml:space="preserve"> коришћен за избор хиперпараметара, овде је циљ да се процени стабилност и генерализациона способност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модела под фиксним условима обуке.</w:t>
      </w:r>
    </w:p>
    <w:p>
      <w:pPr>
        <w:spacing w:after="200"/>
        <w:jc w:val="both"/>
      </w:pPr>
      <w:r>
        <w:rPr>
          <w:rFonts w:ascii="Times New Roman" w:cs="Times New Roman" w:eastAsia="Times New Roman" w:hAnsi="Times New Roman"/>
          <w:color w:val="000000"/>
        </w:rPr>
        <w:t xml:space="preserve">Након завршетка </w:t>
      </w:r>
      <w:r>
        <w:rPr>
          <w:rFonts w:ascii="Times New Roman" w:cs="Times New Roman" w:eastAsia="Times New Roman" w:hAnsi="Times New Roman"/>
          <w:b w:val="false"/>
          <w:bCs w:val="false"/>
          <w:i/>
          <w:iCs/>
          <w:color w:val="000000"/>
        </w:rPr>
        <w:t xml:space="preserve">cross-validation</w:t>
      </w:r>
      <w:r>
        <w:rPr>
          <w:rFonts w:ascii="Times New Roman" w:cs="Times New Roman" w:eastAsia="Times New Roman" w:hAnsi="Times New Roman"/>
          <w:color w:val="000000"/>
        </w:rPr>
        <w:t xml:space="preserve"> експеримената, модели се поново обучавају на целокупном скупу од 2874 примера. Овај корак омогућава да се за финалну примену искористе сви расположиви означени подаци, након што је евалуација већ спроведена. Све четири конфигурације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чувају се одвојено, како би се омогућили независна инференца и директно поређење предвиђања.</w:t>
      </w:r>
    </w:p>
    <w:p>
      <w:pPr>
        <w:pStyle w:val="Heading2"/>
        <w:spacing w:after="160" w:before="300"/>
      </w:pPr>
      <w:r>
        <w:rPr>
          <w:rFonts w:ascii="Times New Roman" w:cs="Times New Roman" w:eastAsia="Times New Roman" w:hAnsi="Times New Roman"/>
          <w:b/>
          <w:bCs/>
          <w:color w:val="000000"/>
          <w:sz w:val="28"/>
          <w:szCs w:val="28"/>
        </w:rPr>
        <w:t xml:space="preserve">3.2.3. Резултати</w:t>
      </w:r>
    </w:p>
    <w:p>
      <w:pPr>
        <w:spacing w:after="200"/>
        <w:jc w:val="both"/>
      </w:pPr>
      <w:r>
        <w:rPr>
          <w:rFonts w:ascii="Times New Roman" w:cs="Times New Roman" w:eastAsia="Times New Roman" w:hAnsi="Times New Roman"/>
          <w:color w:val="000000"/>
        </w:rPr>
        <w:t xml:space="preserve">Победник 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са macro-F1 = 0,637, непосредно праћен основном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конфигурацијом (0,630). Обе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варијанте убедљиво надмашују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достиже 0,577, 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0,564. У односу на најбољи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 (LR + TF + stem, macro-F1 = 0,5532) предност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износи око 8,4 процентна поена, односно око 7,7 поена за основну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конфигурацију; предности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варијанти су знатно скромније (+2,4, односно +1,1 поена). Занимљиво, увођење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благо побољшава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(+0,007 macro-F1), али благо погоршава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(−0,013), што показује да ефекат тежинисања губитка зависи од модела.</w:t>
      </w:r>
    </w:p>
    <w:p>
      <w:pPr>
        <w:spacing w:after="80" w:before="160"/>
        <w:jc w:val="center"/>
      </w:pPr>
      <w:r>
        <w:drawing>
          <wp:inline distT="0" distB="0" distL="0" distR="0">
            <wp:extent cx="4191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3000375"/>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3.9 — Поређење метрика (macro-F1, accuracy, weighted-F1) за све четири конфигурације</w:t>
      </w:r>
    </w:p>
    <w:p>
      <w:pPr>
        <w:spacing w:after="200"/>
        <w:jc w:val="both"/>
      </w:pPr>
      <w:r>
        <w:rPr>
          <w:rFonts w:ascii="Times New Roman" w:cs="Times New Roman" w:eastAsia="Times New Roman" w:hAnsi="Times New Roman"/>
          <w:color w:val="000000"/>
        </w:rPr>
        <w:t xml:space="preserve">На Слици 3.9 упоређене су три метрике за све четири конфигурације.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и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доминирају по свим метрикама; разлика у односу на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варијанте није ограничена само на macro-F1 већ се очитава и у accuracy и у weighted-F1, што значи да предност није последица једне класе већ укупно бољег понашања модела.</w:t>
      </w:r>
    </w:p>
    <w:p>
      <w:pPr>
        <w:spacing w:after="200"/>
        <w:jc w:val="both"/>
      </w:pPr>
      <w:r>
        <w:rPr>
          <w:rFonts w:ascii="Times New Roman" w:cs="Times New Roman" w:eastAsia="Times New Roman" w:hAnsi="Times New Roman"/>
          <w:color w:val="000000"/>
        </w:rPr>
        <w:t xml:space="preserve">У Табели 3.3 приказане су прецизност, одзив и F1 по класама за све четири конфигурације.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побољшава све три класе у односу на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 а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додатно подижу NEUTRAL код оба модела. Ипак, и даље NEUTRAL остаје најслабија класа у свим конфигурацијама, док су ZA-VLAST и PROTIV-VLASTI знатно јаче заступљене.</w:t>
      </w:r>
    </w:p>
    <w:p>
      <w:pPr>
        <w:spacing w:after="240" w:before="80"/>
        <w:jc w:val="center"/>
      </w:pPr>
      <w:r>
        <w:rPr>
          <w:rFonts w:ascii="Times New Roman" w:cs="Times New Roman" w:eastAsia="Times New Roman" w:hAnsi="Times New Roman"/>
          <w:i/>
          <w:iCs/>
          <w:color w:val="000000"/>
          <w:sz w:val="20"/>
          <w:szCs w:val="20"/>
        </w:rPr>
        <w:t xml:space="preserve">Табела 3.3 Перформансе енкодер модела по класама (epochs =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1500"/>
        <w:gridCol w:w="1300"/>
        <w:gridCol w:w="1200"/>
      </w:tblGrid>
      <w:tr>
        <w:trPr>
          <w:tblHeader/>
        </w:trPr>
        <w:tc>
          <w:tcPr>
            <w:tcW w:type="dxa" w:w="2400"/>
            <w:shd w:fill="D9D9D9" w:val="clear"/>
            <w:vAlign w:val="center"/>
          </w:tcPr>
          <w:p>
            <w:pPr>
              <w:jc w:val="center"/>
            </w:pPr>
            <w:r>
              <w:rPr>
                <w:rFonts w:ascii="Times New Roman" w:cs="Times New Roman" w:eastAsia="Times New Roman" w:hAnsi="Times New Roman"/>
                <w:b/>
                <w:bCs/>
                <w:color w:val="000000"/>
              </w:rPr>
              <w:t xml:space="preserve">Модел</w:t>
            </w:r>
          </w:p>
        </w:tc>
        <w:tc>
          <w:tcPr>
            <w:tcW w:type="dxa" w:w="2600"/>
            <w:shd w:fill="D9D9D9" w:val="clear"/>
            <w:vAlign w:val="center"/>
          </w:tcPr>
          <w:p>
            <w:pPr>
              <w:jc w:val="center"/>
            </w:pPr>
            <w:r>
              <w:rPr>
                <w:rFonts w:ascii="Times New Roman" w:cs="Times New Roman" w:eastAsia="Times New Roman" w:hAnsi="Times New Roman"/>
                <w:b/>
                <w:bCs/>
                <w:color w:val="000000"/>
              </w:rPr>
              <w:t xml:space="preserve">Класа</w:t>
            </w:r>
          </w:p>
        </w:tc>
        <w:tc>
          <w:tcPr>
            <w:tcW w:type="dxa" w:w="1500"/>
            <w:shd w:fill="D9D9D9" w:val="clear"/>
            <w:vAlign w:val="center"/>
          </w:tcPr>
          <w:p>
            <w:pPr>
              <w:jc w:val="center"/>
            </w:pPr>
            <w:r>
              <w:rPr>
                <w:rFonts w:ascii="Times New Roman" w:cs="Times New Roman" w:eastAsia="Times New Roman" w:hAnsi="Times New Roman"/>
                <w:b/>
                <w:bCs/>
                <w:color w:val="000000"/>
              </w:rPr>
              <w:t xml:space="preserve">Precision</w:t>
            </w:r>
          </w:p>
        </w:tc>
        <w:tc>
          <w:tcPr>
            <w:tcW w:type="dxa" w:w="1300"/>
            <w:shd w:fill="D9D9D9" w:val="clear"/>
            <w:vAlign w:val="center"/>
          </w:tcPr>
          <w:p>
            <w:pPr>
              <w:jc w:val="center"/>
            </w:pPr>
            <w:r>
              <w:rPr>
                <w:rFonts w:ascii="Times New Roman" w:cs="Times New Roman" w:eastAsia="Times New Roman" w:hAnsi="Times New Roman"/>
                <w:b/>
                <w:bCs/>
                <w:color w:val="000000"/>
              </w:rPr>
              <w:t xml:space="preserve">Recall</w:t>
            </w:r>
          </w:p>
        </w:tc>
        <w:tc>
          <w:tcPr>
            <w:tcW w:type="dxa" w:w="1200"/>
            <w:shd w:fill="D9D9D9" w:val="clear"/>
            <w:vAlign w:val="center"/>
          </w:tcPr>
          <w:p>
            <w:pPr>
              <w:jc w:val="center"/>
            </w:pPr>
            <w:r>
              <w:rPr>
                <w:rFonts w:ascii="Times New Roman" w:cs="Times New Roman" w:eastAsia="Times New Roman" w:hAnsi="Times New Roman"/>
                <w:b/>
                <w:bCs/>
                <w:color w:val="000000"/>
              </w:rPr>
              <w:t xml:space="preserve">F1</w:t>
            </w:r>
          </w:p>
        </w:tc>
      </w:tr>
      <w:tr>
        <w:tc>
          <w:tcPr>
            <w:tcW w:type="dxa" w:w="2400"/>
            <w:vAlign w:val="center"/>
          </w:tcPr>
          <w:p>
            <w:pPr>
              <w:jc w:val="left"/>
            </w:pPr>
            <w:r>
              <w:rPr>
                <w:rFonts w:ascii="Times New Roman" w:cs="Times New Roman" w:eastAsia="Times New Roman" w:hAnsi="Times New Roman"/>
                <w:b w:val="false"/>
                <w:bCs w:val="false"/>
                <w:color w:val="000000"/>
              </w:rPr>
              <w:t xml:space="preserve">BERTić</w:t>
            </w:r>
          </w:p>
        </w:tc>
        <w:tc>
          <w:tcPr>
            <w:tcW w:type="dxa" w:w="2600"/>
            <w:vAlign w:val="center"/>
          </w:tcPr>
          <w:p>
            <w:pPr>
              <w:jc w:val="left"/>
            </w:pPr>
            <w:r>
              <w:rPr>
                <w:rFonts w:ascii="Times New Roman" w:cs="Times New Roman" w:eastAsia="Times New Roman" w:hAnsi="Times New Roman"/>
                <w:b w:val="false"/>
                <w:bCs w:val="false"/>
                <w:color w:val="000000"/>
              </w:rPr>
              <w:t xml:space="preserve">NEUTRAL</w:t>
            </w:r>
          </w:p>
        </w:tc>
        <w:tc>
          <w:tcPr>
            <w:tcW w:type="dxa" w:w="1500"/>
            <w:vAlign w:val="center"/>
          </w:tcPr>
          <w:p>
            <w:pPr>
              <w:jc w:val="center"/>
            </w:pPr>
            <w:r>
              <w:rPr>
                <w:rFonts w:ascii="Times New Roman" w:cs="Times New Roman" w:eastAsia="Times New Roman" w:hAnsi="Times New Roman"/>
                <w:b w:val="false"/>
                <w:bCs w:val="false"/>
                <w:color w:val="000000"/>
              </w:rPr>
              <w:t xml:space="preserve">0,5416</w:t>
            </w:r>
          </w:p>
        </w:tc>
        <w:tc>
          <w:tcPr>
            <w:tcW w:type="dxa" w:w="1300"/>
            <w:vAlign w:val="center"/>
          </w:tcPr>
          <w:p>
            <w:pPr>
              <w:jc w:val="center"/>
            </w:pPr>
            <w:r>
              <w:rPr>
                <w:rFonts w:ascii="Times New Roman" w:cs="Times New Roman" w:eastAsia="Times New Roman" w:hAnsi="Times New Roman"/>
                <w:b w:val="false"/>
                <w:bCs w:val="false"/>
                <w:color w:val="000000"/>
              </w:rPr>
              <w:t xml:space="preserve">0,4581</w:t>
            </w:r>
          </w:p>
        </w:tc>
        <w:tc>
          <w:tcPr>
            <w:tcW w:type="dxa" w:w="1200"/>
            <w:vAlign w:val="center"/>
          </w:tcPr>
          <w:p>
            <w:pPr>
              <w:jc w:val="center"/>
            </w:pPr>
            <w:r>
              <w:rPr>
                <w:rFonts w:ascii="Times New Roman" w:cs="Times New Roman" w:eastAsia="Times New Roman" w:hAnsi="Times New Roman"/>
                <w:b w:val="false"/>
                <w:bCs w:val="false"/>
                <w:color w:val="000000"/>
              </w:rPr>
              <w:t xml:space="preserve">0,4963</w:t>
            </w:r>
          </w:p>
        </w:tc>
      </w:tr>
      <w:tr>
        <w:tc>
          <w:tcPr>
            <w:tcW w:type="dxa" w:w="2400"/>
            <w:vAlign w:val="center"/>
          </w:tcPr>
          <w:p>
            <w:pPr>
              <w:jc w:val="left"/>
            </w:pPr>
            <w:r>
              <w:rPr>
                <w:rFonts w:ascii="Times New Roman" w:cs="Times New Roman" w:eastAsia="Times New Roman" w:hAnsi="Times New Roman"/>
                <w:b w:val="false"/>
                <w:bCs w:val="false"/>
                <w:color w:val="000000"/>
              </w:rPr>
              <w:t xml:space="preserve">BERTić</w:t>
            </w:r>
          </w:p>
        </w:tc>
        <w:tc>
          <w:tcPr>
            <w:tcW w:type="dxa" w:w="2600"/>
            <w:vAlign w:val="center"/>
          </w:tcPr>
          <w:p>
            <w:pPr>
              <w:jc w:val="left"/>
            </w:pPr>
            <w:r>
              <w:rPr>
                <w:rFonts w:ascii="Times New Roman" w:cs="Times New Roman" w:eastAsia="Times New Roman" w:hAnsi="Times New Roman"/>
                <w:b w:val="false"/>
                <w:bCs w:val="false"/>
                <w:color w:val="000000"/>
              </w:rPr>
              <w:t xml:space="preserve">ZA-VLAST</w:t>
            </w:r>
          </w:p>
        </w:tc>
        <w:tc>
          <w:tcPr>
            <w:tcW w:type="dxa" w:w="1500"/>
            <w:vAlign w:val="center"/>
          </w:tcPr>
          <w:p>
            <w:pPr>
              <w:jc w:val="center"/>
            </w:pPr>
            <w:r>
              <w:rPr>
                <w:rFonts w:ascii="Times New Roman" w:cs="Times New Roman" w:eastAsia="Times New Roman" w:hAnsi="Times New Roman"/>
                <w:b w:val="false"/>
                <w:bCs w:val="false"/>
                <w:color w:val="000000"/>
              </w:rPr>
              <w:t xml:space="preserve">0,7268</w:t>
            </w:r>
          </w:p>
        </w:tc>
        <w:tc>
          <w:tcPr>
            <w:tcW w:type="dxa" w:w="1300"/>
            <w:vAlign w:val="center"/>
          </w:tcPr>
          <w:p>
            <w:pPr>
              <w:jc w:val="center"/>
            </w:pPr>
            <w:r>
              <w:rPr>
                <w:rFonts w:ascii="Times New Roman" w:cs="Times New Roman" w:eastAsia="Times New Roman" w:hAnsi="Times New Roman"/>
                <w:b w:val="false"/>
                <w:bCs w:val="false"/>
                <w:color w:val="000000"/>
              </w:rPr>
              <w:t xml:space="preserve">0,7303</w:t>
            </w:r>
          </w:p>
        </w:tc>
        <w:tc>
          <w:tcPr>
            <w:tcW w:type="dxa" w:w="1200"/>
            <w:vAlign w:val="center"/>
          </w:tcPr>
          <w:p>
            <w:pPr>
              <w:jc w:val="center"/>
            </w:pPr>
            <w:r>
              <w:rPr>
                <w:rFonts w:ascii="Times New Roman" w:cs="Times New Roman" w:eastAsia="Times New Roman" w:hAnsi="Times New Roman"/>
                <w:b w:val="false"/>
                <w:bCs w:val="false"/>
                <w:color w:val="000000"/>
              </w:rPr>
              <w:t xml:space="preserve">0,7285</w:t>
            </w:r>
          </w:p>
        </w:tc>
      </w:tr>
      <w:tr>
        <w:tc>
          <w:tcPr>
            <w:tcW w:type="dxa" w:w="2400"/>
            <w:vAlign w:val="center"/>
          </w:tcPr>
          <w:p>
            <w:pPr>
              <w:jc w:val="left"/>
            </w:pPr>
            <w:r>
              <w:rPr>
                <w:rFonts w:ascii="Times New Roman" w:cs="Times New Roman" w:eastAsia="Times New Roman" w:hAnsi="Times New Roman"/>
                <w:b w:val="false"/>
                <w:bCs w:val="false"/>
                <w:color w:val="000000"/>
              </w:rPr>
              <w:t xml:space="preserve">BERTić</w:t>
            </w:r>
          </w:p>
        </w:tc>
        <w:tc>
          <w:tcPr>
            <w:tcW w:type="dxa" w:w="2600"/>
            <w:vAlign w:val="center"/>
          </w:tcPr>
          <w:p>
            <w:pPr>
              <w:jc w:val="left"/>
            </w:pPr>
            <w:r>
              <w:rPr>
                <w:rFonts w:ascii="Times New Roman" w:cs="Times New Roman" w:eastAsia="Times New Roman" w:hAnsi="Times New Roman"/>
                <w:b w:val="false"/>
                <w:bCs w:val="false"/>
                <w:color w:val="000000"/>
              </w:rPr>
              <w:t xml:space="preserve">PROTIV-VLASTI</w:t>
            </w:r>
          </w:p>
        </w:tc>
        <w:tc>
          <w:tcPr>
            <w:tcW w:type="dxa" w:w="1500"/>
            <w:vAlign w:val="center"/>
          </w:tcPr>
          <w:p>
            <w:pPr>
              <w:jc w:val="center"/>
            </w:pPr>
            <w:r>
              <w:rPr>
                <w:rFonts w:ascii="Times New Roman" w:cs="Times New Roman" w:eastAsia="Times New Roman" w:hAnsi="Times New Roman"/>
                <w:b w:val="false"/>
                <w:bCs w:val="false"/>
                <w:color w:val="000000"/>
              </w:rPr>
              <w:t xml:space="preserve">0,6382</w:t>
            </w:r>
          </w:p>
        </w:tc>
        <w:tc>
          <w:tcPr>
            <w:tcW w:type="dxa" w:w="1300"/>
            <w:vAlign w:val="center"/>
          </w:tcPr>
          <w:p>
            <w:pPr>
              <w:jc w:val="center"/>
            </w:pPr>
            <w:r>
              <w:rPr>
                <w:rFonts w:ascii="Times New Roman" w:cs="Times New Roman" w:eastAsia="Times New Roman" w:hAnsi="Times New Roman"/>
                <w:b w:val="false"/>
                <w:bCs w:val="false"/>
                <w:color w:val="000000"/>
              </w:rPr>
              <w:t xml:space="preserve">0,6918</w:t>
            </w:r>
          </w:p>
        </w:tc>
        <w:tc>
          <w:tcPr>
            <w:tcW w:type="dxa" w:w="1200"/>
            <w:vAlign w:val="center"/>
          </w:tcPr>
          <w:p>
            <w:pPr>
              <w:jc w:val="center"/>
            </w:pPr>
            <w:r>
              <w:rPr>
                <w:rFonts w:ascii="Times New Roman" w:cs="Times New Roman" w:eastAsia="Times New Roman" w:hAnsi="Times New Roman"/>
                <w:b w:val="false"/>
                <w:bCs w:val="false"/>
                <w:color w:val="000000"/>
              </w:rPr>
              <w:t xml:space="preserve">0,6640</w:t>
            </w:r>
          </w:p>
        </w:tc>
      </w:tr>
      <w:tr>
        <w:tc>
          <w:tcPr>
            <w:tcW w:type="dxa" w:w="2400"/>
            <w:vAlign w:val="center"/>
          </w:tcPr>
          <w:p>
            <w:pPr>
              <w:jc w:val="left"/>
            </w:pPr>
            <w:r>
              <w:rPr>
                <w:rFonts w:ascii="Times New Roman" w:cs="Times New Roman" w:eastAsia="Times New Roman" w:hAnsi="Times New Roman"/>
                <w:b w:val="false"/>
                <w:bCs w:val="false"/>
                <w:color w:val="000000"/>
              </w:rPr>
              <w:t xml:space="preserve">BERTić + cw</w:t>
            </w:r>
          </w:p>
        </w:tc>
        <w:tc>
          <w:tcPr>
            <w:tcW w:type="dxa" w:w="2600"/>
            <w:vAlign w:val="center"/>
          </w:tcPr>
          <w:p>
            <w:pPr>
              <w:jc w:val="left"/>
            </w:pPr>
            <w:r>
              <w:rPr>
                <w:rFonts w:ascii="Times New Roman" w:cs="Times New Roman" w:eastAsia="Times New Roman" w:hAnsi="Times New Roman"/>
                <w:b w:val="false"/>
                <w:bCs w:val="false"/>
                <w:color w:val="000000"/>
              </w:rPr>
              <w:t xml:space="preserve">NEUTRAL</w:t>
            </w:r>
          </w:p>
        </w:tc>
        <w:tc>
          <w:tcPr>
            <w:tcW w:type="dxa" w:w="1500"/>
            <w:vAlign w:val="center"/>
          </w:tcPr>
          <w:p>
            <w:pPr>
              <w:jc w:val="center"/>
            </w:pPr>
            <w:r>
              <w:rPr>
                <w:rFonts w:ascii="Times New Roman" w:cs="Times New Roman" w:eastAsia="Times New Roman" w:hAnsi="Times New Roman"/>
                <w:b w:val="false"/>
                <w:bCs w:val="false"/>
                <w:color w:val="000000"/>
              </w:rPr>
              <w:t xml:space="preserve">0,4968</w:t>
            </w:r>
          </w:p>
        </w:tc>
        <w:tc>
          <w:tcPr>
            <w:tcW w:type="dxa" w:w="1300"/>
            <w:vAlign w:val="center"/>
          </w:tcPr>
          <w:p>
            <w:pPr>
              <w:jc w:val="center"/>
            </w:pPr>
            <w:r>
              <w:rPr>
                <w:rFonts w:ascii="Times New Roman" w:cs="Times New Roman" w:eastAsia="Times New Roman" w:hAnsi="Times New Roman"/>
                <w:b w:val="false"/>
                <w:bCs w:val="false"/>
                <w:color w:val="000000"/>
              </w:rPr>
              <w:t xml:space="preserve">0,5972</w:t>
            </w:r>
          </w:p>
        </w:tc>
        <w:tc>
          <w:tcPr>
            <w:tcW w:type="dxa" w:w="1200"/>
            <w:vAlign w:val="center"/>
          </w:tcPr>
          <w:p>
            <w:pPr>
              <w:jc w:val="center"/>
            </w:pPr>
            <w:r>
              <w:rPr>
                <w:rFonts w:ascii="Times New Roman" w:cs="Times New Roman" w:eastAsia="Times New Roman" w:hAnsi="Times New Roman"/>
                <w:b w:val="false"/>
                <w:bCs w:val="false"/>
                <w:color w:val="000000"/>
              </w:rPr>
              <w:t xml:space="preserve">0,5425</w:t>
            </w:r>
          </w:p>
        </w:tc>
      </w:tr>
      <w:tr>
        <w:tc>
          <w:tcPr>
            <w:tcW w:type="dxa" w:w="2400"/>
            <w:vAlign w:val="center"/>
          </w:tcPr>
          <w:p>
            <w:pPr>
              <w:jc w:val="left"/>
            </w:pPr>
            <w:r>
              <w:rPr>
                <w:rFonts w:ascii="Times New Roman" w:cs="Times New Roman" w:eastAsia="Times New Roman" w:hAnsi="Times New Roman"/>
                <w:b w:val="false"/>
                <w:bCs w:val="false"/>
                <w:color w:val="000000"/>
              </w:rPr>
              <w:t xml:space="preserve">BERTić + cw</w:t>
            </w:r>
          </w:p>
        </w:tc>
        <w:tc>
          <w:tcPr>
            <w:tcW w:type="dxa" w:w="2600"/>
            <w:vAlign w:val="center"/>
          </w:tcPr>
          <w:p>
            <w:pPr>
              <w:jc w:val="left"/>
            </w:pPr>
            <w:r>
              <w:rPr>
                <w:rFonts w:ascii="Times New Roman" w:cs="Times New Roman" w:eastAsia="Times New Roman" w:hAnsi="Times New Roman"/>
                <w:b w:val="false"/>
                <w:bCs w:val="false"/>
                <w:color w:val="000000"/>
              </w:rPr>
              <w:t xml:space="preserve">ZA-VLAST</w:t>
            </w:r>
          </w:p>
        </w:tc>
        <w:tc>
          <w:tcPr>
            <w:tcW w:type="dxa" w:w="1500"/>
            <w:vAlign w:val="center"/>
          </w:tcPr>
          <w:p>
            <w:pPr>
              <w:jc w:val="center"/>
            </w:pPr>
            <w:r>
              <w:rPr>
                <w:rFonts w:ascii="Times New Roman" w:cs="Times New Roman" w:eastAsia="Times New Roman" w:hAnsi="Times New Roman"/>
                <w:b w:val="false"/>
                <w:bCs w:val="false"/>
                <w:color w:val="000000"/>
              </w:rPr>
              <w:t xml:space="preserve">0,7192</w:t>
            </w:r>
          </w:p>
        </w:tc>
        <w:tc>
          <w:tcPr>
            <w:tcW w:type="dxa" w:w="1300"/>
            <w:vAlign w:val="center"/>
          </w:tcPr>
          <w:p>
            <w:pPr>
              <w:jc w:val="center"/>
            </w:pPr>
            <w:r>
              <w:rPr>
                <w:rFonts w:ascii="Times New Roman" w:cs="Times New Roman" w:eastAsia="Times New Roman" w:hAnsi="Times New Roman"/>
                <w:b w:val="false"/>
                <w:bCs w:val="false"/>
                <w:color w:val="000000"/>
              </w:rPr>
              <w:t xml:space="preserve">0,7351</w:t>
            </w:r>
          </w:p>
        </w:tc>
        <w:tc>
          <w:tcPr>
            <w:tcW w:type="dxa" w:w="1200"/>
            <w:vAlign w:val="center"/>
          </w:tcPr>
          <w:p>
            <w:pPr>
              <w:jc w:val="center"/>
            </w:pPr>
            <w:r>
              <w:rPr>
                <w:rFonts w:ascii="Times New Roman" w:cs="Times New Roman" w:eastAsia="Times New Roman" w:hAnsi="Times New Roman"/>
                <w:b w:val="false"/>
                <w:bCs w:val="false"/>
                <w:color w:val="000000"/>
              </w:rPr>
              <w:t xml:space="preserve">0,7269</w:t>
            </w:r>
          </w:p>
        </w:tc>
      </w:tr>
      <w:tr>
        <w:tc>
          <w:tcPr>
            <w:tcW w:type="dxa" w:w="2400"/>
            <w:vAlign w:val="center"/>
          </w:tcPr>
          <w:p>
            <w:pPr>
              <w:jc w:val="left"/>
            </w:pPr>
            <w:r>
              <w:rPr>
                <w:rFonts w:ascii="Times New Roman" w:cs="Times New Roman" w:eastAsia="Times New Roman" w:hAnsi="Times New Roman"/>
                <w:b w:val="false"/>
                <w:bCs w:val="false"/>
                <w:color w:val="000000"/>
              </w:rPr>
              <w:t xml:space="preserve">BERTić + cw</w:t>
            </w:r>
          </w:p>
        </w:tc>
        <w:tc>
          <w:tcPr>
            <w:tcW w:type="dxa" w:w="2600"/>
            <w:vAlign w:val="center"/>
          </w:tcPr>
          <w:p>
            <w:pPr>
              <w:jc w:val="left"/>
            </w:pPr>
            <w:r>
              <w:rPr>
                <w:rFonts w:ascii="Times New Roman" w:cs="Times New Roman" w:eastAsia="Times New Roman" w:hAnsi="Times New Roman"/>
                <w:b w:val="false"/>
                <w:bCs w:val="false"/>
                <w:color w:val="000000"/>
              </w:rPr>
              <w:t xml:space="preserve">PROTIV-VLASTI</w:t>
            </w:r>
          </w:p>
        </w:tc>
        <w:tc>
          <w:tcPr>
            <w:tcW w:type="dxa" w:w="1500"/>
            <w:vAlign w:val="center"/>
          </w:tcPr>
          <w:p>
            <w:pPr>
              <w:jc w:val="center"/>
            </w:pPr>
            <w:r>
              <w:rPr>
                <w:rFonts w:ascii="Times New Roman" w:cs="Times New Roman" w:eastAsia="Times New Roman" w:hAnsi="Times New Roman"/>
                <w:b w:val="false"/>
                <w:bCs w:val="false"/>
                <w:color w:val="000000"/>
              </w:rPr>
              <w:t xml:space="preserve">0,6931</w:t>
            </w:r>
          </w:p>
        </w:tc>
        <w:tc>
          <w:tcPr>
            <w:tcW w:type="dxa" w:w="1300"/>
            <w:vAlign w:val="center"/>
          </w:tcPr>
          <w:p>
            <w:pPr>
              <w:jc w:val="center"/>
            </w:pPr>
            <w:r>
              <w:rPr>
                <w:rFonts w:ascii="Times New Roman" w:cs="Times New Roman" w:eastAsia="Times New Roman" w:hAnsi="Times New Roman"/>
                <w:b w:val="false"/>
                <w:bCs w:val="false"/>
                <w:color w:val="000000"/>
              </w:rPr>
              <w:t xml:space="preserve">0,5993</w:t>
            </w:r>
          </w:p>
        </w:tc>
        <w:tc>
          <w:tcPr>
            <w:tcW w:type="dxa" w:w="1200"/>
            <w:vAlign w:val="center"/>
          </w:tcPr>
          <w:p>
            <w:pPr>
              <w:jc w:val="center"/>
            </w:pPr>
            <w:r>
              <w:rPr>
                <w:rFonts w:ascii="Times New Roman" w:cs="Times New Roman" w:eastAsia="Times New Roman" w:hAnsi="Times New Roman"/>
                <w:b w:val="false"/>
                <w:bCs w:val="false"/>
                <w:color w:val="000000"/>
              </w:rPr>
              <w:t xml:space="preserve">0,6427</w:t>
            </w:r>
          </w:p>
        </w:tc>
      </w:tr>
      <w:tr>
        <w:tc>
          <w:tcPr>
            <w:tcW w:type="dxa" w:w="2400"/>
            <w:vAlign w:val="center"/>
          </w:tcPr>
          <w:p>
            <w:pPr>
              <w:jc w:val="left"/>
            </w:pPr>
            <w:r>
              <w:rPr>
                <w:rFonts w:ascii="Times New Roman" w:cs="Times New Roman" w:eastAsia="Times New Roman" w:hAnsi="Times New Roman"/>
                <w:b w:val="false"/>
                <w:bCs w:val="false"/>
                <w:color w:val="000000"/>
              </w:rPr>
              <w:t xml:space="preserve">mBERT</w:t>
            </w:r>
          </w:p>
        </w:tc>
        <w:tc>
          <w:tcPr>
            <w:tcW w:type="dxa" w:w="2600"/>
            <w:vAlign w:val="center"/>
          </w:tcPr>
          <w:p>
            <w:pPr>
              <w:jc w:val="left"/>
            </w:pPr>
            <w:r>
              <w:rPr>
                <w:rFonts w:ascii="Times New Roman" w:cs="Times New Roman" w:eastAsia="Times New Roman" w:hAnsi="Times New Roman"/>
                <w:b w:val="false"/>
                <w:bCs w:val="false"/>
                <w:color w:val="000000"/>
              </w:rPr>
              <w:t xml:space="preserve">NEUTRAL</w:t>
            </w:r>
          </w:p>
        </w:tc>
        <w:tc>
          <w:tcPr>
            <w:tcW w:type="dxa" w:w="1500"/>
            <w:vAlign w:val="center"/>
          </w:tcPr>
          <w:p>
            <w:pPr>
              <w:jc w:val="center"/>
            </w:pPr>
            <w:r>
              <w:rPr>
                <w:rFonts w:ascii="Times New Roman" w:cs="Times New Roman" w:eastAsia="Times New Roman" w:hAnsi="Times New Roman"/>
                <w:b w:val="false"/>
                <w:bCs w:val="false"/>
                <w:color w:val="000000"/>
              </w:rPr>
              <w:t xml:space="preserve">0,4684</w:t>
            </w:r>
          </w:p>
        </w:tc>
        <w:tc>
          <w:tcPr>
            <w:tcW w:type="dxa" w:w="1300"/>
            <w:vAlign w:val="center"/>
          </w:tcPr>
          <w:p>
            <w:pPr>
              <w:jc w:val="center"/>
            </w:pPr>
            <w:r>
              <w:rPr>
                <w:rFonts w:ascii="Times New Roman" w:cs="Times New Roman" w:eastAsia="Times New Roman" w:hAnsi="Times New Roman"/>
                <w:b w:val="false"/>
                <w:bCs w:val="false"/>
                <w:color w:val="000000"/>
              </w:rPr>
              <w:t xml:space="preserve">0,4327</w:t>
            </w:r>
          </w:p>
        </w:tc>
        <w:tc>
          <w:tcPr>
            <w:tcW w:type="dxa" w:w="1200"/>
            <w:vAlign w:val="center"/>
          </w:tcPr>
          <w:p>
            <w:pPr>
              <w:jc w:val="center"/>
            </w:pPr>
            <w:r>
              <w:rPr>
                <w:rFonts w:ascii="Times New Roman" w:cs="Times New Roman" w:eastAsia="Times New Roman" w:hAnsi="Times New Roman"/>
                <w:b w:val="false"/>
                <w:bCs w:val="false"/>
                <w:color w:val="000000"/>
              </w:rPr>
              <w:t xml:space="preserve">0,4499</w:t>
            </w:r>
          </w:p>
        </w:tc>
      </w:tr>
      <w:tr>
        <w:tc>
          <w:tcPr>
            <w:tcW w:type="dxa" w:w="2400"/>
            <w:vAlign w:val="center"/>
          </w:tcPr>
          <w:p>
            <w:pPr>
              <w:jc w:val="left"/>
            </w:pPr>
            <w:r>
              <w:rPr>
                <w:rFonts w:ascii="Times New Roman" w:cs="Times New Roman" w:eastAsia="Times New Roman" w:hAnsi="Times New Roman"/>
                <w:b w:val="false"/>
                <w:bCs w:val="false"/>
                <w:color w:val="000000"/>
              </w:rPr>
              <w:t xml:space="preserve">mBERT</w:t>
            </w:r>
          </w:p>
        </w:tc>
        <w:tc>
          <w:tcPr>
            <w:tcW w:type="dxa" w:w="2600"/>
            <w:vAlign w:val="center"/>
          </w:tcPr>
          <w:p>
            <w:pPr>
              <w:jc w:val="left"/>
            </w:pPr>
            <w:r>
              <w:rPr>
                <w:rFonts w:ascii="Times New Roman" w:cs="Times New Roman" w:eastAsia="Times New Roman" w:hAnsi="Times New Roman"/>
                <w:b w:val="false"/>
                <w:bCs w:val="false"/>
                <w:color w:val="000000"/>
              </w:rPr>
              <w:t xml:space="preserve">ZA-VLAST</w:t>
            </w:r>
          </w:p>
        </w:tc>
        <w:tc>
          <w:tcPr>
            <w:tcW w:type="dxa" w:w="1500"/>
            <w:vAlign w:val="center"/>
          </w:tcPr>
          <w:p>
            <w:pPr>
              <w:jc w:val="center"/>
            </w:pPr>
            <w:r>
              <w:rPr>
                <w:rFonts w:ascii="Times New Roman" w:cs="Times New Roman" w:eastAsia="Times New Roman" w:hAnsi="Times New Roman"/>
                <w:b w:val="false"/>
                <w:bCs w:val="false"/>
                <w:color w:val="000000"/>
              </w:rPr>
              <w:t xml:space="preserve">0,6616</w:t>
            </w:r>
          </w:p>
        </w:tc>
        <w:tc>
          <w:tcPr>
            <w:tcW w:type="dxa" w:w="1300"/>
            <w:vAlign w:val="center"/>
          </w:tcPr>
          <w:p>
            <w:pPr>
              <w:jc w:val="center"/>
            </w:pPr>
            <w:r>
              <w:rPr>
                <w:rFonts w:ascii="Times New Roman" w:cs="Times New Roman" w:eastAsia="Times New Roman" w:hAnsi="Times New Roman"/>
                <w:b w:val="false"/>
                <w:bCs w:val="false"/>
                <w:color w:val="000000"/>
              </w:rPr>
              <w:t xml:space="preserve">0,6667</w:t>
            </w:r>
          </w:p>
        </w:tc>
        <w:tc>
          <w:tcPr>
            <w:tcW w:type="dxa" w:w="1200"/>
            <w:vAlign w:val="center"/>
          </w:tcPr>
          <w:p>
            <w:pPr>
              <w:jc w:val="center"/>
            </w:pPr>
            <w:r>
              <w:rPr>
                <w:rFonts w:ascii="Times New Roman" w:cs="Times New Roman" w:eastAsia="Times New Roman" w:hAnsi="Times New Roman"/>
                <w:b w:val="false"/>
                <w:bCs w:val="false"/>
                <w:color w:val="000000"/>
              </w:rPr>
              <w:t xml:space="preserve">0,6642</w:t>
            </w:r>
          </w:p>
        </w:tc>
      </w:tr>
      <w:tr>
        <w:tc>
          <w:tcPr>
            <w:tcW w:type="dxa" w:w="2400"/>
            <w:vAlign w:val="center"/>
          </w:tcPr>
          <w:p>
            <w:pPr>
              <w:jc w:val="left"/>
            </w:pPr>
            <w:r>
              <w:rPr>
                <w:rFonts w:ascii="Times New Roman" w:cs="Times New Roman" w:eastAsia="Times New Roman" w:hAnsi="Times New Roman"/>
                <w:b w:val="false"/>
                <w:bCs w:val="false"/>
                <w:color w:val="000000"/>
              </w:rPr>
              <w:t xml:space="preserve">mBERT</w:t>
            </w:r>
          </w:p>
        </w:tc>
        <w:tc>
          <w:tcPr>
            <w:tcW w:type="dxa" w:w="2600"/>
            <w:vAlign w:val="center"/>
          </w:tcPr>
          <w:p>
            <w:pPr>
              <w:jc w:val="left"/>
            </w:pPr>
            <w:r>
              <w:rPr>
                <w:rFonts w:ascii="Times New Roman" w:cs="Times New Roman" w:eastAsia="Times New Roman" w:hAnsi="Times New Roman"/>
                <w:b w:val="false"/>
                <w:bCs w:val="false"/>
                <w:color w:val="000000"/>
              </w:rPr>
              <w:t xml:space="preserve">PROTIV-VLASTI</w:t>
            </w:r>
          </w:p>
        </w:tc>
        <w:tc>
          <w:tcPr>
            <w:tcW w:type="dxa" w:w="1500"/>
            <w:vAlign w:val="center"/>
          </w:tcPr>
          <w:p>
            <w:pPr>
              <w:jc w:val="center"/>
            </w:pPr>
            <w:r>
              <w:rPr>
                <w:rFonts w:ascii="Times New Roman" w:cs="Times New Roman" w:eastAsia="Times New Roman" w:hAnsi="Times New Roman"/>
                <w:b w:val="false"/>
                <w:bCs w:val="false"/>
                <w:color w:val="000000"/>
              </w:rPr>
              <w:t xml:space="preserve">0,6061</w:t>
            </w:r>
          </w:p>
        </w:tc>
        <w:tc>
          <w:tcPr>
            <w:tcW w:type="dxa" w:w="1300"/>
            <w:vAlign w:val="center"/>
          </w:tcPr>
          <w:p>
            <w:pPr>
              <w:jc w:val="center"/>
            </w:pPr>
            <w:r>
              <w:rPr>
                <w:rFonts w:ascii="Times New Roman" w:cs="Times New Roman" w:eastAsia="Times New Roman" w:hAnsi="Times New Roman"/>
                <w:b w:val="false"/>
                <w:bCs w:val="false"/>
                <w:color w:val="000000"/>
              </w:rPr>
              <w:t xml:space="preserve">0,6284</w:t>
            </w:r>
          </w:p>
        </w:tc>
        <w:tc>
          <w:tcPr>
            <w:tcW w:type="dxa" w:w="1200"/>
            <w:vAlign w:val="center"/>
          </w:tcPr>
          <w:p>
            <w:pPr>
              <w:jc w:val="center"/>
            </w:pPr>
            <w:r>
              <w:rPr>
                <w:rFonts w:ascii="Times New Roman" w:cs="Times New Roman" w:eastAsia="Times New Roman" w:hAnsi="Times New Roman"/>
                <w:b w:val="false"/>
                <w:bCs w:val="false"/>
                <w:color w:val="000000"/>
              </w:rPr>
              <w:t xml:space="preserve">0,6171</w:t>
            </w:r>
          </w:p>
        </w:tc>
      </w:tr>
      <w:tr>
        <w:tc>
          <w:tcPr>
            <w:tcW w:type="dxa" w:w="2400"/>
            <w:vAlign w:val="center"/>
          </w:tcPr>
          <w:p>
            <w:pPr>
              <w:jc w:val="left"/>
            </w:pPr>
            <w:r>
              <w:rPr>
                <w:rFonts w:ascii="Times New Roman" w:cs="Times New Roman" w:eastAsia="Times New Roman" w:hAnsi="Times New Roman"/>
                <w:b w:val="false"/>
                <w:bCs w:val="false"/>
                <w:color w:val="000000"/>
              </w:rPr>
              <w:t xml:space="preserve">mBERT + cw</w:t>
            </w:r>
          </w:p>
        </w:tc>
        <w:tc>
          <w:tcPr>
            <w:tcW w:type="dxa" w:w="2600"/>
            <w:vAlign w:val="center"/>
          </w:tcPr>
          <w:p>
            <w:pPr>
              <w:jc w:val="left"/>
            </w:pPr>
            <w:r>
              <w:rPr>
                <w:rFonts w:ascii="Times New Roman" w:cs="Times New Roman" w:eastAsia="Times New Roman" w:hAnsi="Times New Roman"/>
                <w:b w:val="false"/>
                <w:bCs w:val="false"/>
                <w:color w:val="000000"/>
              </w:rPr>
              <w:t xml:space="preserve">NEUTRAL</w:t>
            </w:r>
          </w:p>
        </w:tc>
        <w:tc>
          <w:tcPr>
            <w:tcW w:type="dxa" w:w="1500"/>
            <w:vAlign w:val="center"/>
          </w:tcPr>
          <w:p>
            <w:pPr>
              <w:jc w:val="center"/>
            </w:pPr>
            <w:r>
              <w:rPr>
                <w:rFonts w:ascii="Times New Roman" w:cs="Times New Roman" w:eastAsia="Times New Roman" w:hAnsi="Times New Roman"/>
                <w:b w:val="false"/>
                <w:bCs w:val="false"/>
                <w:color w:val="000000"/>
              </w:rPr>
              <w:t xml:space="preserve">0,4288</w:t>
            </w:r>
          </w:p>
        </w:tc>
        <w:tc>
          <w:tcPr>
            <w:tcW w:type="dxa" w:w="1300"/>
            <w:vAlign w:val="center"/>
          </w:tcPr>
          <w:p>
            <w:pPr>
              <w:jc w:val="center"/>
            </w:pPr>
            <w:r>
              <w:rPr>
                <w:rFonts w:ascii="Times New Roman" w:cs="Times New Roman" w:eastAsia="Times New Roman" w:hAnsi="Times New Roman"/>
                <w:b w:val="false"/>
                <w:bCs w:val="false"/>
                <w:color w:val="000000"/>
              </w:rPr>
              <w:t xml:space="preserve">0,4954</w:t>
            </w:r>
          </w:p>
        </w:tc>
        <w:tc>
          <w:tcPr>
            <w:tcW w:type="dxa" w:w="1200"/>
            <w:vAlign w:val="center"/>
          </w:tcPr>
          <w:p>
            <w:pPr>
              <w:jc w:val="center"/>
            </w:pPr>
            <w:r>
              <w:rPr>
                <w:rFonts w:ascii="Times New Roman" w:cs="Times New Roman" w:eastAsia="Times New Roman" w:hAnsi="Times New Roman"/>
                <w:b w:val="false"/>
                <w:bCs w:val="false"/>
                <w:color w:val="000000"/>
              </w:rPr>
              <w:t xml:space="preserve">0,4596</w:t>
            </w:r>
          </w:p>
        </w:tc>
      </w:tr>
      <w:tr>
        <w:tc>
          <w:tcPr>
            <w:tcW w:type="dxa" w:w="2400"/>
            <w:vAlign w:val="center"/>
          </w:tcPr>
          <w:p>
            <w:pPr>
              <w:jc w:val="left"/>
            </w:pPr>
            <w:r>
              <w:rPr>
                <w:rFonts w:ascii="Times New Roman" w:cs="Times New Roman" w:eastAsia="Times New Roman" w:hAnsi="Times New Roman"/>
                <w:b w:val="false"/>
                <w:bCs w:val="false"/>
                <w:color w:val="000000"/>
              </w:rPr>
              <w:t xml:space="preserve">mBERT + cw</w:t>
            </w:r>
          </w:p>
        </w:tc>
        <w:tc>
          <w:tcPr>
            <w:tcW w:type="dxa" w:w="2600"/>
            <w:vAlign w:val="center"/>
          </w:tcPr>
          <w:p>
            <w:pPr>
              <w:jc w:val="left"/>
            </w:pPr>
            <w:r>
              <w:rPr>
                <w:rFonts w:ascii="Times New Roman" w:cs="Times New Roman" w:eastAsia="Times New Roman" w:hAnsi="Times New Roman"/>
                <w:b w:val="false"/>
                <w:bCs w:val="false"/>
                <w:color w:val="000000"/>
              </w:rPr>
              <w:t xml:space="preserve">ZA-VLAST</w:t>
            </w:r>
          </w:p>
        </w:tc>
        <w:tc>
          <w:tcPr>
            <w:tcW w:type="dxa" w:w="1500"/>
            <w:vAlign w:val="center"/>
          </w:tcPr>
          <w:p>
            <w:pPr>
              <w:jc w:val="center"/>
            </w:pPr>
            <w:r>
              <w:rPr>
                <w:rFonts w:ascii="Times New Roman" w:cs="Times New Roman" w:eastAsia="Times New Roman" w:hAnsi="Times New Roman"/>
                <w:b w:val="false"/>
                <w:bCs w:val="false"/>
                <w:color w:val="000000"/>
              </w:rPr>
              <w:t xml:space="preserve">0,6634</w:t>
            </w:r>
          </w:p>
        </w:tc>
        <w:tc>
          <w:tcPr>
            <w:tcW w:type="dxa" w:w="1300"/>
            <w:vAlign w:val="center"/>
          </w:tcPr>
          <w:p>
            <w:pPr>
              <w:jc w:val="center"/>
            </w:pPr>
            <w:r>
              <w:rPr>
                <w:rFonts w:ascii="Times New Roman" w:cs="Times New Roman" w:eastAsia="Times New Roman" w:hAnsi="Times New Roman"/>
                <w:b w:val="false"/>
                <w:bCs w:val="false"/>
                <w:color w:val="000000"/>
              </w:rPr>
              <w:t xml:space="preserve">0,6455</w:t>
            </w:r>
          </w:p>
        </w:tc>
        <w:tc>
          <w:tcPr>
            <w:tcW w:type="dxa" w:w="1200"/>
            <w:vAlign w:val="center"/>
          </w:tcPr>
          <w:p>
            <w:pPr>
              <w:jc w:val="center"/>
            </w:pPr>
            <w:r>
              <w:rPr>
                <w:rFonts w:ascii="Times New Roman" w:cs="Times New Roman" w:eastAsia="Times New Roman" w:hAnsi="Times New Roman"/>
                <w:b w:val="false"/>
                <w:bCs w:val="false"/>
                <w:color w:val="000000"/>
              </w:rPr>
              <w:t xml:space="preserve">0,6545</w:t>
            </w:r>
          </w:p>
        </w:tc>
      </w:tr>
      <w:tr>
        <w:tc>
          <w:tcPr>
            <w:tcW w:type="dxa" w:w="2400"/>
            <w:vAlign w:val="center"/>
          </w:tcPr>
          <w:p>
            <w:pPr>
              <w:jc w:val="left"/>
            </w:pPr>
            <w:r>
              <w:rPr>
                <w:rFonts w:ascii="Times New Roman" w:cs="Times New Roman" w:eastAsia="Times New Roman" w:hAnsi="Times New Roman"/>
                <w:b w:val="false"/>
                <w:bCs w:val="false"/>
                <w:color w:val="000000"/>
              </w:rPr>
              <w:t xml:space="preserve">mBERT + cw</w:t>
            </w:r>
          </w:p>
        </w:tc>
        <w:tc>
          <w:tcPr>
            <w:tcW w:type="dxa" w:w="2600"/>
            <w:vAlign w:val="center"/>
          </w:tcPr>
          <w:p>
            <w:pPr>
              <w:jc w:val="left"/>
            </w:pPr>
            <w:r>
              <w:rPr>
                <w:rFonts w:ascii="Times New Roman" w:cs="Times New Roman" w:eastAsia="Times New Roman" w:hAnsi="Times New Roman"/>
                <w:b w:val="false"/>
                <w:bCs w:val="false"/>
                <w:color w:val="000000"/>
              </w:rPr>
              <w:t xml:space="preserve">PROTIV-VLASTI</w:t>
            </w:r>
          </w:p>
        </w:tc>
        <w:tc>
          <w:tcPr>
            <w:tcW w:type="dxa" w:w="1500"/>
            <w:vAlign w:val="center"/>
          </w:tcPr>
          <w:p>
            <w:pPr>
              <w:jc w:val="center"/>
            </w:pPr>
            <w:r>
              <w:rPr>
                <w:rFonts w:ascii="Times New Roman" w:cs="Times New Roman" w:eastAsia="Times New Roman" w:hAnsi="Times New Roman"/>
                <w:b w:val="false"/>
                <w:bCs w:val="false"/>
                <w:color w:val="000000"/>
              </w:rPr>
              <w:t xml:space="preserve">0,5982</w:t>
            </w:r>
          </w:p>
        </w:tc>
        <w:tc>
          <w:tcPr>
            <w:tcW w:type="dxa" w:w="1300"/>
            <w:vAlign w:val="center"/>
          </w:tcPr>
          <w:p>
            <w:pPr>
              <w:jc w:val="center"/>
            </w:pPr>
            <w:r>
              <w:rPr>
                <w:rFonts w:ascii="Times New Roman" w:cs="Times New Roman" w:eastAsia="Times New Roman" w:hAnsi="Times New Roman"/>
                <w:b w:val="false"/>
                <w:bCs w:val="false"/>
                <w:color w:val="000000"/>
              </w:rPr>
              <w:t xml:space="preserve">0,5591</w:t>
            </w:r>
          </w:p>
        </w:tc>
        <w:tc>
          <w:tcPr>
            <w:tcW w:type="dxa" w:w="1200"/>
            <w:vAlign w:val="center"/>
          </w:tcPr>
          <w:p>
            <w:pPr>
              <w:jc w:val="center"/>
            </w:pPr>
            <w:r>
              <w:rPr>
                <w:rFonts w:ascii="Times New Roman" w:cs="Times New Roman" w:eastAsia="Times New Roman" w:hAnsi="Times New Roman"/>
                <w:b w:val="false"/>
                <w:bCs w:val="false"/>
                <w:color w:val="000000"/>
              </w:rPr>
              <w:t xml:space="preserve">0,5780</w:t>
            </w:r>
          </w:p>
        </w:tc>
      </w:tr>
    </w:tbl>
    <w:p>
      <w:pPr>
        <w:spacing w:after="200"/>
        <w:jc w:val="both"/>
      </w:pPr>
    </w:p>
    <w:p>
      <w:pPr>
        <w:spacing w:after="200"/>
        <w:jc w:val="both"/>
      </w:pPr>
      <w:r>
        <w:rPr>
          <w:rFonts w:ascii="Times New Roman" w:cs="Times New Roman" w:eastAsia="Times New Roman" w:hAnsi="Times New Roman"/>
          <w:color w:val="000000"/>
        </w:rPr>
        <w:t xml:space="preserve">Напомена: вредности у Табели 3.3 израчунате су директно из матрица конфузије на Сликама 3.12–3.15 и у потпуности се слажу са macro-F1 и accuracy вредностима приказаним на Сликама 3.9 и 3.16.</w:t>
      </w:r>
    </w:p>
    <w:p>
      <w:pPr>
        <w:spacing w:after="80" w:before="160"/>
        <w:jc w:val="center"/>
      </w:pPr>
      <w:r>
        <w:drawing>
          <wp:inline distT="0" distB="0" distL="0" distR="0">
            <wp:extent cx="4191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95275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3.10 — F1 по класама, BERTić наспрам mBERT (све четири конфигурације)</w:t>
      </w:r>
    </w:p>
    <w:p>
      <w:pPr>
        <w:spacing w:after="200"/>
        <w:jc w:val="both"/>
      </w:pPr>
      <w:r>
        <w:rPr>
          <w:rFonts w:ascii="Times New Roman" w:cs="Times New Roman" w:eastAsia="Times New Roman" w:hAnsi="Times New Roman"/>
          <w:color w:val="000000"/>
        </w:rPr>
        <w:t xml:space="preserve">Слика 3.10 приказује F1 по класама за свих четири конфигурације. Најнижи F1 у свим конфигурацијама остаје за NEUTRAL, а разлика је највише изражена управо ту: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подижу NEUTRAL F1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са 0,496 на 0,543, 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са 0,450 на 0,460. Код класе PROTIV-VLASTI ефекат тежинисања је негативан за оба модела: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опада са 0,664 на 0,643, 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са 0,617 на 0,578. Class weights дакле систематски помажу мањинској класи, али по цену благог пада перформанси на осталим класама.</w:t>
      </w:r>
    </w:p>
    <w:p>
      <w:pPr>
        <w:spacing w:after="80" w:before="160"/>
        <w:jc w:val="center"/>
      </w:pPr>
      <w:r>
        <w:drawing>
          <wp:inline distT="0" distB="0" distL="0" distR="0">
            <wp:extent cx="4381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264795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3.11 — Расподела macro-F1 по 10 fold-ова за све четири конфигурације</w:t>
      </w:r>
    </w:p>
    <w:p>
      <w:pPr>
        <w:spacing w:after="200"/>
        <w:jc w:val="both"/>
      </w:pPr>
      <w:r>
        <w:rPr>
          <w:rFonts w:ascii="Times New Roman" w:cs="Times New Roman" w:eastAsia="Times New Roman" w:hAnsi="Times New Roman"/>
          <w:color w:val="000000"/>
        </w:rPr>
        <w:t xml:space="preserve">Табела 3.4 приказује оквирну расподелу macro-F1 по fold-овима, очитану са Слике 3.11 (тачне вредности mean/std нису доступне из самог графикона, па су наведене медијана, минимум и максимум).</w:t>
      </w:r>
    </w:p>
    <w:p>
      <w:pPr>
        <w:spacing w:after="240" w:before="80"/>
        <w:jc w:val="center"/>
      </w:pPr>
      <w:r>
        <w:rPr>
          <w:rFonts w:ascii="Times New Roman" w:cs="Times New Roman" w:eastAsia="Times New Roman" w:hAnsi="Times New Roman"/>
          <w:i/>
          <w:iCs/>
          <w:color w:val="000000"/>
          <w:sz w:val="20"/>
          <w:szCs w:val="20"/>
        </w:rPr>
        <w:t xml:space="preserve">Табела 3.4 Оквирна стабилност macro-F1 по 10 fold-ова (очитано са Слике 3.11)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2400"/>
        <w:gridCol w:w="2400"/>
      </w:tblGrid>
      <w:tr>
        <w:trPr>
          <w:tblHeader/>
        </w:trPr>
        <w:tc>
          <w:tcPr>
            <w:tcW w:type="dxa" w:w="3000"/>
            <w:shd w:fill="D9D9D9" w:val="clear"/>
            <w:vAlign w:val="center"/>
          </w:tcPr>
          <w:p>
            <w:pPr>
              <w:jc w:val="center"/>
            </w:pPr>
            <w:r>
              <w:rPr>
                <w:rFonts w:ascii="Times New Roman" w:cs="Times New Roman" w:eastAsia="Times New Roman" w:hAnsi="Times New Roman"/>
                <w:b/>
                <w:bCs/>
                <w:color w:val="000000"/>
              </w:rPr>
              <w:t xml:space="preserve">Модел</w:t>
            </w:r>
          </w:p>
        </w:tc>
        <w:tc>
          <w:tcPr>
            <w:tcW w:type="dxa" w:w="2400"/>
            <w:shd w:fill="D9D9D9" w:val="clear"/>
            <w:vAlign w:val="center"/>
          </w:tcPr>
          <w:p>
            <w:pPr>
              <w:jc w:val="center"/>
            </w:pPr>
            <w:r>
              <w:rPr>
                <w:rFonts w:ascii="Times New Roman" w:cs="Times New Roman" w:eastAsia="Times New Roman" w:hAnsi="Times New Roman"/>
                <w:b/>
                <w:bCs/>
                <w:color w:val="000000"/>
              </w:rPr>
              <w:t xml:space="preserve">медијана</w:t>
            </w:r>
          </w:p>
        </w:tc>
        <w:tc>
          <w:tcPr>
            <w:tcW w:type="dxa" w:w="2400"/>
            <w:shd w:fill="D9D9D9" w:val="clear"/>
            <w:vAlign w:val="center"/>
          </w:tcPr>
          <w:p>
            <w:pPr>
              <w:jc w:val="center"/>
            </w:pPr>
            <w:r>
              <w:rPr>
                <w:rFonts w:ascii="Times New Roman" w:cs="Times New Roman" w:eastAsia="Times New Roman" w:hAnsi="Times New Roman"/>
                <w:b/>
                <w:bCs/>
                <w:color w:val="000000"/>
              </w:rPr>
              <w:t xml:space="preserve">min</w:t>
            </w:r>
          </w:p>
        </w:tc>
        <w:tc>
          <w:tcPr>
            <w:tcW w:type="dxa" w:w="2400"/>
            <w:shd w:fill="D9D9D9" w:val="clear"/>
            <w:vAlign w:val="center"/>
          </w:tcPr>
          <w:p>
            <w:pPr>
              <w:jc w:val="center"/>
            </w:pPr>
            <w:r>
              <w:rPr>
                <w:rFonts w:ascii="Times New Roman" w:cs="Times New Roman" w:eastAsia="Times New Roman" w:hAnsi="Times New Roman"/>
                <w:b/>
                <w:bCs/>
                <w:color w:val="000000"/>
              </w:rPr>
              <w:t xml:space="preserve">max</w:t>
            </w:r>
          </w:p>
        </w:tc>
      </w:tr>
      <w:tr>
        <w:tc>
          <w:tcPr>
            <w:tcW w:type="dxa" w:w="3000"/>
            <w:vAlign w:val="center"/>
          </w:tcPr>
          <w:p>
            <w:pPr>
              <w:jc w:val="left"/>
            </w:pPr>
            <w:r>
              <w:rPr>
                <w:rFonts w:ascii="Times New Roman" w:cs="Times New Roman" w:eastAsia="Times New Roman" w:hAnsi="Times New Roman"/>
                <w:b w:val="false"/>
                <w:bCs w:val="false"/>
                <w:color w:val="000000"/>
              </w:rPr>
              <w:t xml:space="preserve">BERTić</w:t>
            </w:r>
          </w:p>
        </w:tc>
        <w:tc>
          <w:tcPr>
            <w:tcW w:type="dxa" w:w="2400"/>
            <w:vAlign w:val="center"/>
          </w:tcPr>
          <w:p>
            <w:pPr>
              <w:jc w:val="left"/>
            </w:pPr>
            <w:r>
              <w:rPr>
                <w:rFonts w:ascii="Times New Roman" w:cs="Times New Roman" w:eastAsia="Times New Roman" w:hAnsi="Times New Roman"/>
                <w:b w:val="false"/>
                <w:bCs w:val="false"/>
                <w:color w:val="000000"/>
              </w:rPr>
              <w:t xml:space="preserve">≈0,627</w:t>
            </w:r>
          </w:p>
        </w:tc>
        <w:tc>
          <w:tcPr>
            <w:tcW w:type="dxa" w:w="2400"/>
            <w:vAlign w:val="center"/>
          </w:tcPr>
          <w:p>
            <w:pPr>
              <w:jc w:val="center"/>
            </w:pPr>
            <w:r>
              <w:rPr>
                <w:rFonts w:ascii="Times New Roman" w:cs="Times New Roman" w:eastAsia="Times New Roman" w:hAnsi="Times New Roman"/>
                <w:b w:val="false"/>
                <w:bCs w:val="false"/>
                <w:color w:val="000000"/>
              </w:rPr>
              <w:t xml:space="preserve">≈0,561</w:t>
            </w:r>
          </w:p>
        </w:tc>
        <w:tc>
          <w:tcPr>
            <w:tcW w:type="dxa" w:w="2400"/>
            <w:vAlign w:val="center"/>
          </w:tcPr>
          <w:p>
            <w:pPr>
              <w:jc w:val="center"/>
            </w:pPr>
            <w:r>
              <w:rPr>
                <w:rFonts w:ascii="Times New Roman" w:cs="Times New Roman" w:eastAsia="Times New Roman" w:hAnsi="Times New Roman"/>
                <w:b w:val="false"/>
                <w:bCs w:val="false"/>
                <w:color w:val="000000"/>
              </w:rPr>
              <w:t xml:space="preserve">≈0,680</w:t>
            </w:r>
          </w:p>
        </w:tc>
      </w:tr>
      <w:tr>
        <w:tc>
          <w:tcPr>
            <w:tcW w:type="dxa" w:w="3000"/>
            <w:vAlign w:val="center"/>
          </w:tcPr>
          <w:p>
            <w:pPr>
              <w:jc w:val="left"/>
            </w:pPr>
            <w:r>
              <w:rPr>
                <w:rFonts w:ascii="Times New Roman" w:cs="Times New Roman" w:eastAsia="Times New Roman" w:hAnsi="Times New Roman"/>
                <w:b w:val="false"/>
                <w:bCs w:val="false"/>
                <w:color w:val="000000"/>
              </w:rPr>
              <w:t xml:space="preserve">BERTić + cw</w:t>
            </w:r>
          </w:p>
        </w:tc>
        <w:tc>
          <w:tcPr>
            <w:tcW w:type="dxa" w:w="2400"/>
            <w:vAlign w:val="center"/>
          </w:tcPr>
          <w:p>
            <w:pPr>
              <w:jc w:val="left"/>
            </w:pPr>
            <w:r>
              <w:rPr>
                <w:rFonts w:ascii="Times New Roman" w:cs="Times New Roman" w:eastAsia="Times New Roman" w:hAnsi="Times New Roman"/>
                <w:b w:val="false"/>
                <w:bCs w:val="false"/>
                <w:color w:val="000000"/>
              </w:rPr>
              <w:t xml:space="preserve">≈0,638</w:t>
            </w:r>
          </w:p>
        </w:tc>
        <w:tc>
          <w:tcPr>
            <w:tcW w:type="dxa" w:w="2400"/>
            <w:vAlign w:val="center"/>
          </w:tcPr>
          <w:p>
            <w:pPr>
              <w:jc w:val="center"/>
            </w:pPr>
            <w:r>
              <w:rPr>
                <w:rFonts w:ascii="Times New Roman" w:cs="Times New Roman" w:eastAsia="Times New Roman" w:hAnsi="Times New Roman"/>
                <w:b w:val="false"/>
                <w:bCs w:val="false"/>
                <w:color w:val="000000"/>
              </w:rPr>
              <w:t xml:space="preserve">≈0,590</w:t>
            </w:r>
          </w:p>
        </w:tc>
        <w:tc>
          <w:tcPr>
            <w:tcW w:type="dxa" w:w="2400"/>
            <w:vAlign w:val="center"/>
          </w:tcPr>
          <w:p>
            <w:pPr>
              <w:jc w:val="center"/>
            </w:pPr>
            <w:r>
              <w:rPr>
                <w:rFonts w:ascii="Times New Roman" w:cs="Times New Roman" w:eastAsia="Times New Roman" w:hAnsi="Times New Roman"/>
                <w:b w:val="false"/>
                <w:bCs w:val="false"/>
                <w:color w:val="000000"/>
              </w:rPr>
              <w:t xml:space="preserve">≈0,688</w:t>
            </w:r>
          </w:p>
        </w:tc>
      </w:tr>
      <w:tr>
        <w:tc>
          <w:tcPr>
            <w:tcW w:type="dxa" w:w="3000"/>
            <w:vAlign w:val="center"/>
          </w:tcPr>
          <w:p>
            <w:pPr>
              <w:jc w:val="left"/>
            </w:pPr>
            <w:r>
              <w:rPr>
                <w:rFonts w:ascii="Times New Roman" w:cs="Times New Roman" w:eastAsia="Times New Roman" w:hAnsi="Times New Roman"/>
                <w:b w:val="false"/>
                <w:bCs w:val="false"/>
                <w:color w:val="000000"/>
              </w:rPr>
              <w:t xml:space="preserve">mBERT</w:t>
            </w:r>
          </w:p>
        </w:tc>
        <w:tc>
          <w:tcPr>
            <w:tcW w:type="dxa" w:w="2400"/>
            <w:vAlign w:val="center"/>
          </w:tcPr>
          <w:p>
            <w:pPr>
              <w:jc w:val="left"/>
            </w:pPr>
            <w:r>
              <w:rPr>
                <w:rFonts w:ascii="Times New Roman" w:cs="Times New Roman" w:eastAsia="Times New Roman" w:hAnsi="Times New Roman"/>
                <w:b w:val="false"/>
                <w:bCs w:val="false"/>
                <w:color w:val="000000"/>
              </w:rPr>
              <w:t xml:space="preserve">≈0,579</w:t>
            </w:r>
          </w:p>
        </w:tc>
        <w:tc>
          <w:tcPr>
            <w:tcW w:type="dxa" w:w="2400"/>
            <w:vAlign w:val="center"/>
          </w:tcPr>
          <w:p>
            <w:pPr>
              <w:jc w:val="center"/>
            </w:pPr>
            <w:r>
              <w:rPr>
                <w:rFonts w:ascii="Times New Roman" w:cs="Times New Roman" w:eastAsia="Times New Roman" w:hAnsi="Times New Roman"/>
                <w:b w:val="false"/>
                <w:bCs w:val="false"/>
                <w:color w:val="000000"/>
              </w:rPr>
              <w:t xml:space="preserve">≈0,531</w:t>
            </w:r>
          </w:p>
        </w:tc>
        <w:tc>
          <w:tcPr>
            <w:tcW w:type="dxa" w:w="2400"/>
            <w:vAlign w:val="center"/>
          </w:tcPr>
          <w:p>
            <w:pPr>
              <w:jc w:val="center"/>
            </w:pPr>
            <w:r>
              <w:rPr>
                <w:rFonts w:ascii="Times New Roman" w:cs="Times New Roman" w:eastAsia="Times New Roman" w:hAnsi="Times New Roman"/>
                <w:b w:val="false"/>
                <w:bCs w:val="false"/>
                <w:color w:val="000000"/>
              </w:rPr>
              <w:t xml:space="preserve">≈0,622</w:t>
            </w:r>
          </w:p>
        </w:tc>
      </w:tr>
      <w:tr>
        <w:tc>
          <w:tcPr>
            <w:tcW w:type="dxa" w:w="3000"/>
            <w:vAlign w:val="center"/>
          </w:tcPr>
          <w:p>
            <w:pPr>
              <w:jc w:val="left"/>
            </w:pPr>
            <w:r>
              <w:rPr>
                <w:rFonts w:ascii="Times New Roman" w:cs="Times New Roman" w:eastAsia="Times New Roman" w:hAnsi="Times New Roman"/>
                <w:b w:val="false"/>
                <w:bCs w:val="false"/>
                <w:color w:val="000000"/>
              </w:rPr>
              <w:t xml:space="preserve">mBERT + cw</w:t>
            </w:r>
          </w:p>
        </w:tc>
        <w:tc>
          <w:tcPr>
            <w:tcW w:type="dxa" w:w="2400"/>
            <w:vAlign w:val="center"/>
          </w:tcPr>
          <w:p>
            <w:pPr>
              <w:jc w:val="left"/>
            </w:pPr>
            <w:r>
              <w:rPr>
                <w:rFonts w:ascii="Times New Roman" w:cs="Times New Roman" w:eastAsia="Times New Roman" w:hAnsi="Times New Roman"/>
                <w:b w:val="false"/>
                <w:bCs w:val="false"/>
                <w:color w:val="000000"/>
              </w:rPr>
              <w:t xml:space="preserve">≈0,570</w:t>
            </w:r>
          </w:p>
        </w:tc>
        <w:tc>
          <w:tcPr>
            <w:tcW w:type="dxa" w:w="2400"/>
            <w:vAlign w:val="center"/>
          </w:tcPr>
          <w:p>
            <w:pPr>
              <w:jc w:val="center"/>
            </w:pPr>
            <w:r>
              <w:rPr>
                <w:rFonts w:ascii="Times New Roman" w:cs="Times New Roman" w:eastAsia="Times New Roman" w:hAnsi="Times New Roman"/>
                <w:b w:val="false"/>
                <w:bCs w:val="false"/>
                <w:color w:val="000000"/>
              </w:rPr>
              <w:t xml:space="preserve">≈0,524</w:t>
            </w:r>
          </w:p>
        </w:tc>
        <w:tc>
          <w:tcPr>
            <w:tcW w:type="dxa" w:w="2400"/>
            <w:vAlign w:val="center"/>
          </w:tcPr>
          <w:p>
            <w:pPr>
              <w:jc w:val="center"/>
            </w:pPr>
            <w:r>
              <w:rPr>
                <w:rFonts w:ascii="Times New Roman" w:cs="Times New Roman" w:eastAsia="Times New Roman" w:hAnsi="Times New Roman"/>
                <w:b w:val="false"/>
                <w:bCs w:val="false"/>
                <w:color w:val="000000"/>
              </w:rPr>
              <w:t xml:space="preserve">≈0,596</w:t>
            </w:r>
          </w:p>
        </w:tc>
      </w:tr>
    </w:tbl>
    <w:p>
      <w:pPr>
        <w:spacing w:after="200"/>
        <w:jc w:val="both"/>
      </w:pPr>
    </w:p>
    <w:p>
      <w:pPr>
        <w:spacing w:after="200"/>
        <w:jc w:val="both"/>
      </w:pPr>
      <w:r>
        <w:rPr>
          <w:rFonts w:ascii="Times New Roman" w:cs="Times New Roman" w:eastAsia="Times New Roman" w:hAnsi="Times New Roman"/>
          <w:color w:val="000000"/>
        </w:rPr>
        <w:t xml:space="preserve">И даље важи закључак да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доследно надмашује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кроз fold-ове: горња половина дистрибуције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лежи изнад скоро целе дистрибуције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има благо виши медијан и горњу границу од основне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конфигурације, док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показује нешто ужи, али у целини нижи опсег од основног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Стога је закључак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(у обе варијанте третмана неуравнотежености) поуздан у оквиру 10-fold протокола.</w:t>
      </w:r>
    </w:p>
    <w:p>
      <w:pPr>
        <w:spacing w:after="200"/>
        <w:jc w:val="both"/>
      </w:pPr>
      <w:r>
        <w:rPr>
          <w:rFonts w:ascii="Times New Roman" w:cs="Times New Roman" w:eastAsia="Times New Roman" w:hAnsi="Times New Roman"/>
          <w:color w:val="000000"/>
        </w:rPr>
        <w:t xml:space="preserve">Матрице конфузије, на Сликама 3.12–3.15, приказују где модели праве грешке: редови су стварне класе, колоне предвиђене класе.</w:t>
      </w:r>
    </w:p>
    <w:p>
      <w:pPr>
        <w:spacing w:after="80" w:before="160"/>
        <w:jc w:val="center"/>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325755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3.12 — Матрица конфузије за BERTić (epochs = 5)</w:t>
      </w:r>
    </w:p>
    <w:p>
      <w:pPr>
        <w:spacing w:after="200"/>
        <w:jc w:val="both"/>
      </w:pPr>
      <w:r>
        <w:rPr>
          <w:rFonts w:ascii="Times New Roman" w:cs="Times New Roman" w:eastAsia="Times New Roman" w:hAnsi="Times New Roman"/>
          <w:color w:val="000000"/>
        </w:rPr>
        <w:t xml:space="preserve">Код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највише тачних предикција је на дијагонали: 306 за NEUTRAL, 758 за ZA-VLAST и 808 за PROTIV-VLASTI. Грешке код NEUTRAL најчешће одлазе у PROTIV-VLASTI (255) и ZA-VLAST (107), што потврђује да модел често „повуче“ неутрални коментар ка једном од два поларизована става.</w:t>
      </w:r>
    </w:p>
    <w:p>
      <w:pPr>
        <w:spacing w:after="80" w:before="160"/>
        <w:jc w:val="center"/>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10000" cy="325755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3.13 — Матрица конфузије за BERTić + class weights (epochs = 5)</w:t>
      </w:r>
    </w:p>
    <w:p>
      <w:pPr>
        <w:spacing w:after="200"/>
        <w:jc w:val="both"/>
      </w:pPr>
      <w:r>
        <w:rPr>
          <w:rFonts w:ascii="Times New Roman" w:cs="Times New Roman" w:eastAsia="Times New Roman" w:hAnsi="Times New Roman"/>
          <w:color w:val="000000"/>
        </w:rPr>
        <w:t xml:space="preserve">Увођење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код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видно смањује број погрешно класификованих NEUTRAL примера (тачних NEUTRAL предикција са 306 на 399, recall са 0,458 на 0,597), али по цену пораста лажно позитивних NEUTRAL предикција на рачун класе PROTIV-VLASTI (тачне PROTIV-VLASTI предикције падају са 808 на 700).</w:t>
      </w:r>
    </w:p>
    <w:p>
      <w:pPr>
        <w:spacing w:after="80" w:before="160"/>
        <w:jc w:val="center"/>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325755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3.14 — Матрица конфузије за mBERT (epochs = 5)</w:t>
      </w:r>
    </w:p>
    <w:p>
      <w:pPr>
        <w:spacing w:after="200"/>
        <w:jc w:val="both"/>
      </w:pPr>
      <w:r>
        <w:rPr>
          <w:rFonts w:ascii="Times New Roman" w:cs="Times New Roman" w:eastAsia="Times New Roman" w:hAnsi="Times New Roman"/>
          <w:color w:val="000000"/>
        </w:rPr>
        <w:t xml:space="preserve">Код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образац грешака је сличан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-у, али су дијагоналне вредности ниже (289 / 692 / 734). Посебно је израженије мешање NEUTRAL ↔ PROTIV-VLASTI и NEUTRAL ↔ ZA-VLAST.</w:t>
      </w:r>
    </w:p>
    <w:p>
      <w:pPr>
        <w:spacing w:after="80" w:before="160"/>
        <w:jc w:val="center"/>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325755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3.15 — Матрица конфузије за mBERT + class weights (epochs = 5)</w:t>
      </w:r>
    </w:p>
    <w:p>
      <w:pPr>
        <w:spacing w:after="200"/>
        <w:jc w:val="both"/>
      </w:pPr>
      <w:r>
        <w:rPr>
          <w:rFonts w:ascii="Times New Roman" w:cs="Times New Roman" w:eastAsia="Times New Roman" w:hAnsi="Times New Roman"/>
          <w:color w:val="000000"/>
        </w:rPr>
        <w:t xml:space="preserve">Слично као код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побољшавају NEUTRAL recall код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(са 0,433 на 0,495), али смањују број тачних предикција на PROTIV-VLASTI (са 734 на 653). Поређењем свих четирију матрица види се да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доследно боље одваја три класе од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независно од тога да ли се користе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уз исти тип најчешћих грешака — проблем NEUTRAL класе није потпуно решен ни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архитектуром нити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техником, али јесте значајно ублажен у односу на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w:t>
      </w:r>
    </w:p>
    <w:p>
      <w:pPr>
        <w:spacing w:after="80" w:before="160"/>
        <w:jc w:val="center"/>
      </w:pPr>
      <w:r>
        <w:drawing>
          <wp:inline distT="0" distB="0" distL="0" distR="0">
            <wp:extent cx="4762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09775"/>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3.16 — Рангирање четири енкодер конфигурације по macro-F1</w:t>
      </w:r>
    </w:p>
    <w:p>
      <w:pPr>
        <w:spacing w:after="200"/>
        <w:jc w:val="both"/>
      </w:pPr>
      <w:r>
        <w:rPr>
          <w:rFonts w:ascii="Times New Roman" w:cs="Times New Roman" w:eastAsia="Times New Roman" w:hAnsi="Times New Roman"/>
          <w:color w:val="000000"/>
        </w:rPr>
        <w:t xml:space="preserve">Слика 3.16 сумира коначно рангирање: 1)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(0,637); 2)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(0,630); 3)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(0,577); 4)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(0,564). Пошто су хиперпараметри и протокол евалуације идентични за све конфигурације, разлика између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и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варијанти се може приписати самом претренираном моделу (монолингвални BCMS наспрам мултилингвалног BERT-а), а разлика унутар истог модела ефекту третмана неуравнотежености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техником.</w:t>
      </w:r>
    </w:p>
    <w:p>
      <w:pPr>
        <w:spacing w:after="80" w:before="16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57525"/>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3.17 — Утицај броја епоха (1–5) на macro-F1 за све четири конфигурације</w:t>
      </w:r>
    </w:p>
    <w:p>
      <w:pPr>
        <w:spacing w:after="200"/>
        <w:jc w:val="both"/>
      </w:pPr>
      <w:r>
        <w:rPr>
          <w:rFonts w:ascii="Times New Roman" w:cs="Times New Roman" w:eastAsia="Times New Roman" w:hAnsi="Times New Roman"/>
          <w:color w:val="000000"/>
        </w:rPr>
        <w:t xml:space="preserve">Слика 3.17 приказује утицај броја епоха на macro-F1. Све криве расту монотоно до 3.–4. епохе, а затим се или платоирају или благо осцилују.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постиже високу вредност већ у 3. епохи (0,619) и наставља благи раст до 4. епохе (0,643), да би у 5. епохи благо опао (0,638). Основни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модел расте спорије у прве две епохе (0,390 у 1. епохи, знатно ниже од осталих конфигурација), али до 4.–5. епохе стиже готово на ниво class-weight варијанте (0,628). Обе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конфигурације остају знатно испод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конфигурација кроз све епохе, уз спорији и равномернији раст.</w:t>
      </w:r>
    </w:p>
    <w:p>
      <w:pPr>
        <w:spacing w:after="80" w:before="160"/>
        <w:jc w:val="center"/>
      </w:pPr>
      <w:r>
        <w:drawing>
          <wp:inline distT="0" distB="0" distL="0" distR="0">
            <wp:extent cx="4953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09550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3.18 — Ефекат броја епоха на macro-F1 и accuracy — BERTić</w:t>
      </w:r>
    </w:p>
    <w:p>
      <w:pPr>
        <w:spacing w:after="200"/>
        <w:jc w:val="both"/>
      </w:pPr>
      <w:r>
        <w:rPr>
          <w:rFonts w:ascii="Times New Roman" w:cs="Times New Roman" w:eastAsia="Times New Roman" w:hAnsi="Times New Roman"/>
          <w:color w:val="000000"/>
        </w:rPr>
        <w:t xml:space="preserve">За основни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модел (Слика 3.18) macro-F1 расте са 0,390 (1 епоха) на 0,628 (5 епоха), а accuracy са 0,517 на 0,651. Најбољи резултат у оквиру ове конфигурације постиже се управо у 5. епохи (macro-F1 0,6280; accuracy 0,6514), што оправдава избор 5 епоха у финалном протоколу.</w:t>
      </w:r>
    </w:p>
    <w:p>
      <w:pPr>
        <w:spacing w:after="80" w:before="160"/>
        <w:jc w:val="center"/>
      </w:pPr>
      <w:r>
        <w:drawing>
          <wp:inline distT="0" distB="0" distL="0" distR="0">
            <wp:extent cx="4953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09550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3.19 — Ефекат броја епоха на macro-F1 и accuracy — BERTić + class weights</w:t>
      </w:r>
    </w:p>
    <w:p>
      <w:pPr>
        <w:spacing w:after="200"/>
        <w:jc w:val="both"/>
      </w:pPr>
      <w:r>
        <w:rPr>
          <w:rFonts w:ascii="Times New Roman" w:cs="Times New Roman" w:eastAsia="Times New Roman" w:hAnsi="Times New Roman"/>
          <w:color w:val="000000"/>
        </w:rPr>
        <w:t xml:space="preserve">За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(Слика 3.19) macro-F1 достиже максимум у 4. епохи (0,6431), а затим благо опада у 5. епохи (0,6374); accuracy достиже максимум такође у 4. епохи (0,6517) и остаје готово непромењена у 5. епохи (0,6479). Разлика је мала (испод 0,01 macro-F1 поена), па је ради упоредивости задржан једнообразан избор од 5 епоха за све конфигурације, уз напомену да би за ову конфигурацију 4 епохе биле маргинално боље.</w:t>
      </w:r>
    </w:p>
    <w:p>
      <w:pPr>
        <w:spacing w:after="80" w:before="160"/>
        <w:jc w:val="center"/>
      </w:pPr>
      <w:r>
        <w:drawing>
          <wp:inline distT="0" distB="0" distL="0" distR="0">
            <wp:extent cx="4953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209550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3.20 — Ефекат броја епоха на macro-F1 и accuracy — mBERT</w:t>
      </w:r>
    </w:p>
    <w:p>
      <w:pPr>
        <w:spacing w:after="200"/>
        <w:jc w:val="both"/>
      </w:pPr>
      <w:r>
        <w:rPr>
          <w:rFonts w:ascii="Times New Roman" w:cs="Times New Roman" w:eastAsia="Times New Roman" w:hAnsi="Times New Roman"/>
          <w:color w:val="000000"/>
        </w:rPr>
        <w:t xml:space="preserve">Код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(Слика 3.20) обе метрике монотоно расту кроз свих 5 епоха, без изразитог платоа: macro-F1 иде од 0,473 до 0,576, а accuracy од 0,537 до 0,597, при чему су максималне вредности управо у 5. епохи.</w:t>
      </w:r>
    </w:p>
    <w:p>
      <w:pPr>
        <w:spacing w:after="80" w:before="160"/>
        <w:jc w:val="center"/>
      </w:pPr>
      <w:r>
        <w:drawing>
          <wp:inline distT="0" distB="0" distL="0" distR="0">
            <wp:extent cx="4953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2095500"/>
                    </a:xfrm>
                    <a:prstGeom prst="rect">
                      <a:avLst/>
                    </a:prstGeom>
                  </pic:spPr>
                </pic:pic>
              </a:graphicData>
            </a:graphic>
          </wp:inline>
        </w:drawing>
      </w:r>
    </w:p>
    <w:p>
      <w:pPr>
        <w:spacing w:after="240" w:before="80"/>
        <w:jc w:val="center"/>
      </w:pPr>
      <w:r>
        <w:rPr>
          <w:rFonts w:ascii="Times New Roman" w:cs="Times New Roman" w:eastAsia="Times New Roman" w:hAnsi="Times New Roman"/>
          <w:i/>
          <w:iCs/>
          <w:color w:val="000000"/>
          <w:sz w:val="20"/>
          <w:szCs w:val="20"/>
        </w:rPr>
        <w:t xml:space="preserve">Слика 3.21 — Ефекат броја епоха на macro-F1 и accuracy — mBERT + class weights</w:t>
      </w:r>
    </w:p>
    <w:p>
      <w:pPr>
        <w:spacing w:after="200"/>
        <w:jc w:val="both"/>
      </w:pPr>
      <w:r>
        <w:rPr>
          <w:rFonts w:ascii="Times New Roman" w:cs="Times New Roman" w:eastAsia="Times New Roman" w:hAnsi="Times New Roman"/>
          <w:color w:val="000000"/>
        </w:rPr>
        <w:t xml:space="preserve">За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(Слика 3.21) образац је сличан: macro-F1 расте са 0,490 на 0,563, а accuracy са 0,497 на 0,576, са максимумом у 5. епохи. За разлику 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код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-a нема ранијег платоа, него continuiran, лаган раст кроз све епохе, што сугерише да би додатне епохе можда донеле даље побољшање, иако то није тестирано у оквиру овог рада.</w:t>
      </w:r>
    </w:p>
    <w:p>
      <w:pPr>
        <w:pStyle w:val="Heading2"/>
        <w:spacing w:after="160" w:before="300"/>
      </w:pPr>
      <w:r>
        <w:rPr>
          <w:rFonts w:ascii="Times New Roman" w:cs="Times New Roman" w:eastAsia="Times New Roman" w:hAnsi="Times New Roman"/>
          <w:b/>
          <w:bCs/>
          <w:color w:val="000000"/>
          <w:sz w:val="28"/>
          <w:szCs w:val="28"/>
        </w:rPr>
        <w:t xml:space="preserve">3.2.4. Дискусија</w:t>
      </w:r>
    </w:p>
    <w:p>
      <w:pPr>
        <w:spacing w:after="200"/>
        <w:jc w:val="both"/>
      </w:pPr>
      <w:r>
        <w:rPr>
          <w:rFonts w:ascii="Times New Roman" w:cs="Times New Roman" w:eastAsia="Times New Roman" w:hAnsi="Times New Roman"/>
          <w:b w:val="false"/>
          <w:bCs w:val="false"/>
          <w:i/>
          <w:iCs/>
          <w:color w:val="000000"/>
        </w:rPr>
        <w:t xml:space="preserve">Fine-tuning</w:t>
      </w:r>
      <w:r>
        <w:rPr>
          <w:rFonts w:ascii="Times New Roman" w:cs="Times New Roman" w:eastAsia="Times New Roman" w:hAnsi="Times New Roman"/>
          <w:color w:val="000000"/>
        </w:rPr>
        <w:t xml:space="preserve">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модела доноси јасан добитак у односу на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(macro-F1 = 0,637) надмашује најбољу логистичку регресију за око 0,084, а основни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(0,630) за око 0,077. Добитак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варијанти је знатно скромнији (+0,024 за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+0,011 за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Пошто су хиперпараметри и протокол евалуације били идентични за све конфигурације, предност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над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-ом (0,053–0,073, у зависности од тога да ли се пореде варијанте са истим третманом неуравнотежености) поткрепљује хипотезу да монолингвални BCMS модел боље одговара овом задатку од општег мултилингвалног BERT-а.</w:t>
      </w:r>
    </w:p>
    <w:p>
      <w:pPr>
        <w:spacing w:after="200"/>
        <w:jc w:val="both"/>
      </w:pPr>
      <w:r>
        <w:rPr>
          <w:rFonts w:ascii="Times New Roman" w:cs="Times New Roman" w:eastAsia="Times New Roman" w:hAnsi="Times New Roman"/>
          <w:color w:val="000000"/>
        </w:rPr>
        <w:t xml:space="preserve">Најважнији квалитативни помак остаје код класе NEUTRAL, где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доносе највећи ефекат: F1 расте са 0,496 на 0,543 код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и са 0,450 на 0,460 код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-а. Ипак, NEUTRAL остаје најслабија класа у свим конфигурацијама, уз типично мешање са поларизованим ставовима. Компромис при увођењу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(побољшање NEUTRAL уз благ пад на PROTIV-VLASTI, посебно код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-а) сугерише да ова техника ублажава, али не решава у потпуности проблем неуравнотежености. С обзиром на најбољи укупни macro-F1, за примену се препоручује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као главна конфигурација, уз напомену да разлика у односу на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без тежина није велика (0,007) и да коначан избор може зависити од тога да ли је приоритет укупни macro-F1 или боља осетљивост на неутралне коментаре.</w:t>
      </w:r>
    </w:p>
    <w:p>
      <w:pPr>
        <w:pStyle w:val="Heading1"/>
        <w:spacing w:after="160" w:before="300"/>
      </w:pPr>
      <w:r>
        <w:rPr>
          <w:rFonts w:ascii="Times New Roman" w:cs="Times New Roman" w:eastAsia="Times New Roman" w:hAnsi="Times New Roman"/>
          <w:b/>
          <w:bCs/>
          <w:color w:val="000000"/>
          <w:sz w:val="32"/>
          <w:szCs w:val="32"/>
        </w:rPr>
        <w:t xml:space="preserve">4. Закључак</w:t>
      </w:r>
    </w:p>
    <w:p>
      <w:pPr>
        <w:spacing w:after="200"/>
        <w:jc w:val="both"/>
      </w:pPr>
      <w:r>
        <w:rPr>
          <w:rFonts w:ascii="Times New Roman" w:cs="Times New Roman" w:eastAsia="Times New Roman" w:hAnsi="Times New Roman"/>
          <w:color w:val="000000"/>
        </w:rPr>
        <w:t xml:space="preserve">У овом раду реализован је целовит ток за класификацију става јавних коментара о студентским протестима у Србији, кроз три фазе: прикупљање података, анотацију и обучавање модела.</w:t>
      </w:r>
    </w:p>
    <w:p>
      <w:pPr>
        <w:spacing w:after="200"/>
        <w:jc w:val="both"/>
      </w:pPr>
      <w:r>
        <w:rPr>
          <w:rFonts w:ascii="Times New Roman" w:cs="Times New Roman" w:eastAsia="Times New Roman" w:hAnsi="Times New Roman"/>
          <w:color w:val="000000"/>
        </w:rPr>
        <w:t xml:space="preserve">У Фази 1 прикупљени су коментари са четири платформе (Instagram, X, YouTube, Facebook). Од око 10 870 сирових текстова, након чишћења задржано је око 8 900, а у финални анотирани скуп ушло је 2874 примера. Тиме је направљен употребљив корпус за учење, уз очекивани губитак обима због квалитета и ручне селекције.</w:t>
      </w:r>
    </w:p>
    <w:p>
      <w:pPr>
        <w:spacing w:after="200"/>
        <w:jc w:val="both"/>
      </w:pPr>
      <w:r>
        <w:rPr>
          <w:rFonts w:ascii="Times New Roman" w:cs="Times New Roman" w:eastAsia="Times New Roman" w:hAnsi="Times New Roman"/>
          <w:color w:val="000000"/>
        </w:rPr>
        <w:t xml:space="preserve">У Фази 2 коментари су обележени у три класе: NEUTRAL, ZA-VLAST и PROTIV-VLASTI. Скуп је неуравнотежен (најмање неутралних примера), због чега је у евалуацији као главна метрика коришћен macro-F1.</w:t>
      </w:r>
    </w:p>
    <w:p>
      <w:pPr>
        <w:spacing w:after="200"/>
        <w:jc w:val="both"/>
      </w:pPr>
      <w:r>
        <w:rPr>
          <w:rFonts w:ascii="Times New Roman" w:cs="Times New Roman" w:eastAsia="Times New Roman" w:hAnsi="Times New Roman"/>
          <w:color w:val="000000"/>
        </w:rPr>
        <w:t xml:space="preserve">У Фази 3 упоређени су класични и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приступи. Најбољи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 модел (логистичка регресија + TF + stemming) достиже macro-F1 = 0,553. </w:t>
      </w:r>
      <w:r>
        <w:rPr>
          <w:rFonts w:ascii="Times New Roman" w:cs="Times New Roman" w:eastAsia="Times New Roman" w:hAnsi="Times New Roman"/>
          <w:b w:val="false"/>
          <w:bCs w:val="false"/>
          <w:i/>
          <w:iCs/>
          <w:color w:val="000000"/>
        </w:rPr>
        <w:t xml:space="preserve">Fine-tuning</w:t>
      </w:r>
      <w:r>
        <w:rPr>
          <w:rFonts w:ascii="Times New Roman" w:cs="Times New Roman" w:eastAsia="Times New Roman" w:hAnsi="Times New Roman"/>
          <w:color w:val="000000"/>
        </w:rPr>
        <w:t xml:space="preserve"> енкодера показује јасан напредак: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достиже macro-F1 = 0,637 (основни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0,630), испред обе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варијанте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0,577, </w:t>
      </w:r>
      <w:r>
        <w:rPr>
          <w:rFonts w:ascii="Times New Roman" w:cs="Times New Roman" w:eastAsia="Times New Roman" w:hAnsi="Times New Roman"/>
          <w:b/>
          <w:bCs/>
          <w:i w:val="false"/>
          <w:iCs w:val="false"/>
          <w:color w:val="000000"/>
        </w:rPr>
        <w:t xml:space="preserve">mBERT</w:t>
      </w:r>
      <w:r>
        <w:rPr>
          <w:rFonts w:ascii="Times New Roman" w:cs="Times New Roman" w:eastAsia="Times New Roman" w:hAnsi="Times New Roman"/>
          <w:color w:val="000000"/>
        </w:rPr>
        <w:t xml:space="preserve"> +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0,564) и </w:t>
      </w:r>
      <w:r>
        <w:rPr>
          <w:rFonts w:ascii="Times New Roman" w:cs="Times New Roman" w:eastAsia="Times New Roman" w:hAnsi="Times New Roman"/>
          <w:b w:val="false"/>
          <w:bCs w:val="false"/>
          <w:i/>
          <w:iCs/>
          <w:color w:val="000000"/>
        </w:rPr>
        <w:t xml:space="preserve">baseline</w:t>
      </w:r>
      <w:r>
        <w:rPr>
          <w:rFonts w:ascii="Times New Roman" w:cs="Times New Roman" w:eastAsia="Times New Roman" w:hAnsi="Times New Roman"/>
          <w:color w:val="000000"/>
        </w:rPr>
        <w:t xml:space="preserve">-a. Монолингвални BCMS модел показао се бољим од мултилингвалног у обе варијанте третмана неуравнотежености, а највећи квалитативни добитак је код класе NEUTRAL, која ипак остаје најтежа.</w:t>
      </w:r>
    </w:p>
    <w:p>
      <w:pPr>
        <w:spacing w:after="200"/>
        <w:jc w:val="both"/>
      </w:pPr>
      <w:r>
        <w:rPr>
          <w:rFonts w:ascii="Times New Roman" w:cs="Times New Roman" w:eastAsia="Times New Roman" w:hAnsi="Times New Roman"/>
          <w:color w:val="000000"/>
        </w:rPr>
        <w:t xml:space="preserve">Главни допринос рада је практичан </w:t>
      </w:r>
      <w:r>
        <w:rPr>
          <w:rFonts w:ascii="Times New Roman" w:cs="Times New Roman" w:eastAsia="Times New Roman" w:hAnsi="Times New Roman"/>
          <w:b w:val="false"/>
          <w:bCs w:val="false"/>
          <w:i/>
          <w:iCs/>
          <w:color w:val="000000"/>
        </w:rPr>
        <w:t xml:space="preserve">pipeline</w:t>
      </w:r>
      <w:r>
        <w:rPr>
          <w:rFonts w:ascii="Times New Roman" w:cs="Times New Roman" w:eastAsia="Times New Roman" w:hAnsi="Times New Roman"/>
          <w:color w:val="000000"/>
        </w:rPr>
        <w:t xml:space="preserve"> — од прикупљања и анотације до упоредиве евалуације модела — као и емпиријски налаз да </w:t>
      </w:r>
      <w:r>
        <w:rPr>
          <w:rFonts w:ascii="Times New Roman" w:cs="Times New Roman" w:eastAsia="Times New Roman" w:hAnsi="Times New Roman"/>
          <w:b w:val="false"/>
          <w:bCs w:val="false"/>
          <w:i/>
          <w:iCs/>
          <w:color w:val="000000"/>
        </w:rPr>
        <w:t xml:space="preserve">Transformer</w:t>
      </w:r>
      <w:r>
        <w:rPr>
          <w:rFonts w:ascii="Times New Roman" w:cs="Times New Roman" w:eastAsia="Times New Roman" w:hAnsi="Times New Roman"/>
          <w:color w:val="000000"/>
        </w:rPr>
        <w:t xml:space="preserve"> </w:t>
      </w:r>
      <w:r>
        <w:rPr>
          <w:rFonts w:ascii="Times New Roman" w:cs="Times New Roman" w:eastAsia="Times New Roman" w:hAnsi="Times New Roman"/>
          <w:b w:val="false"/>
          <w:bCs w:val="false"/>
          <w:i/>
          <w:iCs/>
          <w:color w:val="000000"/>
        </w:rPr>
        <w:t xml:space="preserve">fine-tuning</w:t>
      </w:r>
      <w:r>
        <w:rPr>
          <w:rFonts w:ascii="Times New Roman" w:cs="Times New Roman" w:eastAsia="Times New Roman" w:hAnsi="Times New Roman"/>
          <w:color w:val="000000"/>
        </w:rPr>
        <w:t xml:space="preserve">, посебно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значајно надмашује класичне моделе на овом задатку, те да </w:t>
      </w:r>
      <w:r>
        <w:rPr>
          <w:rFonts w:ascii="Times New Roman" w:cs="Times New Roman" w:eastAsia="Times New Roman" w:hAnsi="Times New Roman"/>
          <w:b w:val="false"/>
          <w:bCs w:val="false"/>
          <w:i/>
          <w:iCs/>
          <w:color w:val="000000"/>
        </w:rPr>
        <w:t xml:space="preserve">class weights</w:t>
      </w:r>
      <w:r>
        <w:rPr>
          <w:rFonts w:ascii="Times New Roman" w:cs="Times New Roman" w:eastAsia="Times New Roman" w:hAnsi="Times New Roman"/>
          <w:color w:val="000000"/>
        </w:rPr>
        <w:t xml:space="preserve"> умерено побољшавају препознавање мањинске (NEUTRAL) класе, уз мали компромис на осталим класама, посебно код </w:t>
      </w:r>
      <w:r>
        <w:rPr>
          <w:rFonts w:ascii="Times New Roman" w:cs="Times New Roman" w:eastAsia="Times New Roman" w:hAnsi="Times New Roman"/>
          <w:b/>
          <w:bCs/>
          <w:i w:val="false"/>
          <w:iCs w:val="false"/>
          <w:color w:val="000000"/>
        </w:rPr>
        <w:t xml:space="preserve">BERTić</w:t>
      </w:r>
      <w:r>
        <w:rPr>
          <w:rFonts w:ascii="Times New Roman" w:cs="Times New Roman" w:eastAsia="Times New Roman" w:hAnsi="Times New Roman"/>
          <w:color w:val="000000"/>
        </w:rPr>
        <w:t xml:space="preserve"> модела. За даљи рад највећи потенцијал лежи у бољем третману неутралних коментара, проширењу корпуса и поређењу са декодерским (prompting) приступима.</w:t>
      </w:r>
    </w:p>
    <w:sectPr w:rsidR="007C3E0F" w:rsidRPr="00845651" w:rsidSect="00365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422B0"/>
    <w:rsid w:val="00081CE8"/>
    <w:rsid w:val="00086E10"/>
    <w:rsid w:val="000A60E7"/>
    <w:rsid w:val="000C6628"/>
    <w:rsid w:val="000D65A7"/>
    <w:rsid w:val="00133D70"/>
    <w:rsid w:val="001559B5"/>
    <w:rsid w:val="002C411F"/>
    <w:rsid w:val="002D0A1C"/>
    <w:rsid w:val="002D64E9"/>
    <w:rsid w:val="00342F6F"/>
    <w:rsid w:val="003443A5"/>
    <w:rsid w:val="00365BE4"/>
    <w:rsid w:val="00373F20"/>
    <w:rsid w:val="00397634"/>
    <w:rsid w:val="003C18AC"/>
    <w:rsid w:val="003D2949"/>
    <w:rsid w:val="003F13B1"/>
    <w:rsid w:val="004168FC"/>
    <w:rsid w:val="004361C2"/>
    <w:rsid w:val="004406A8"/>
    <w:rsid w:val="004429AF"/>
    <w:rsid w:val="0046365F"/>
    <w:rsid w:val="00470E88"/>
    <w:rsid w:val="00472B50"/>
    <w:rsid w:val="00473FAA"/>
    <w:rsid w:val="0047436A"/>
    <w:rsid w:val="004773A4"/>
    <w:rsid w:val="004833EB"/>
    <w:rsid w:val="00486D4F"/>
    <w:rsid w:val="00490EDC"/>
    <w:rsid w:val="004D5CD3"/>
    <w:rsid w:val="004F2FB9"/>
    <w:rsid w:val="004F59A4"/>
    <w:rsid w:val="00504738"/>
    <w:rsid w:val="00507CE5"/>
    <w:rsid w:val="005412C7"/>
    <w:rsid w:val="0058711D"/>
    <w:rsid w:val="005A6FAE"/>
    <w:rsid w:val="005E19AA"/>
    <w:rsid w:val="005E666E"/>
    <w:rsid w:val="005F5021"/>
    <w:rsid w:val="006062B3"/>
    <w:rsid w:val="006A2BB4"/>
    <w:rsid w:val="006A3BF1"/>
    <w:rsid w:val="006C064E"/>
    <w:rsid w:val="006E18D8"/>
    <w:rsid w:val="006E4217"/>
    <w:rsid w:val="006F165A"/>
    <w:rsid w:val="00746C61"/>
    <w:rsid w:val="00756EF2"/>
    <w:rsid w:val="00767836"/>
    <w:rsid w:val="00780BD8"/>
    <w:rsid w:val="007A3828"/>
    <w:rsid w:val="007B4666"/>
    <w:rsid w:val="007C3E0F"/>
    <w:rsid w:val="007D1F4D"/>
    <w:rsid w:val="007E1678"/>
    <w:rsid w:val="007E457B"/>
    <w:rsid w:val="00821847"/>
    <w:rsid w:val="00845651"/>
    <w:rsid w:val="008C2EC1"/>
    <w:rsid w:val="008C5A97"/>
    <w:rsid w:val="009127D7"/>
    <w:rsid w:val="00932147"/>
    <w:rsid w:val="0093461C"/>
    <w:rsid w:val="00956E3F"/>
    <w:rsid w:val="00970AD5"/>
    <w:rsid w:val="00973A4E"/>
    <w:rsid w:val="00985B85"/>
    <w:rsid w:val="00993D37"/>
    <w:rsid w:val="009B1587"/>
    <w:rsid w:val="00A23E14"/>
    <w:rsid w:val="00A61BAB"/>
    <w:rsid w:val="00A95BCB"/>
    <w:rsid w:val="00AD1515"/>
    <w:rsid w:val="00B26F8D"/>
    <w:rsid w:val="00B64E2A"/>
    <w:rsid w:val="00B743EA"/>
    <w:rsid w:val="00B9549C"/>
    <w:rsid w:val="00BE30C5"/>
    <w:rsid w:val="00BF1D16"/>
    <w:rsid w:val="00BF2552"/>
    <w:rsid w:val="00C05113"/>
    <w:rsid w:val="00C8156A"/>
    <w:rsid w:val="00C90135"/>
    <w:rsid w:val="00C95B3C"/>
    <w:rsid w:val="00CB25FE"/>
    <w:rsid w:val="00CB530D"/>
    <w:rsid w:val="00CD1BD4"/>
    <w:rsid w:val="00D01A4B"/>
    <w:rsid w:val="00D40ECD"/>
    <w:rsid w:val="00D762F8"/>
    <w:rsid w:val="00D765B0"/>
    <w:rsid w:val="00D942EA"/>
    <w:rsid w:val="00E275D1"/>
    <w:rsid w:val="00E664CE"/>
    <w:rsid w:val="00E81065"/>
    <w:rsid w:val="00E816FC"/>
    <w:rsid w:val="00EA6379"/>
    <w:rsid w:val="00F44514"/>
    <w:rsid w:val="00F6519B"/>
    <w:rsid w:val="00F71972"/>
    <w:rsid w:val="00F76862"/>
    <w:rsid w:val="00F76C84"/>
    <w:rsid w:val="00FC6FBD"/>
    <w:rsid w:val="00FD43DF"/>
    <w:rsid w:val="00FE4255"/>
    <w:rsid w:val="00FF4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50517"/>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5B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5" Type="http://schemas.openxmlformats.org/officeDocument/2006/relationships/image" Target="media/ea37e46c5f6f7802bb04620e1c72efec89ba5126.png"/><Relationship Id="rId26" Type="http://schemas.openxmlformats.org/officeDocument/2006/relationships/image" Target="media/ee4d8b265d82e1391d2a7029a766222b82a5a464.png"/><Relationship Id="rId27" Type="http://schemas.openxmlformats.org/officeDocument/2006/relationships/image" Target="media/3717d71fbb061afc0bf55d61e803b9c938c7cb40.png"/><Relationship Id="rId28" Type="http://schemas.openxmlformats.org/officeDocument/2006/relationships/image" Target="media/415c3457e0cf42eaedb7a204a2bf83dc5bf0471c.png"/><Relationship Id="rId29" Type="http://schemas.openxmlformats.org/officeDocument/2006/relationships/image" Target="media/74bc924aff305e7e792a9d46b929204b2fa38e00.png"/><Relationship Id="rId30" Type="http://schemas.openxmlformats.org/officeDocument/2006/relationships/image" Target="media/fe4e92c12afd2f91fcd6ac572e47f007c1c6d14e.png"/><Relationship Id="rId31" Type="http://schemas.openxmlformats.org/officeDocument/2006/relationships/image" Target="media/3d0aad0e32a39ceeda1dbfa1117ef5f35b6f0ed8.png"/><Relationship Id="rId32" Type="http://schemas.openxmlformats.org/officeDocument/2006/relationships/image" Target="media/8731ec11b27d321b32cedfbd3b88ebb310cb72c4.png"/><Relationship Id="rId33" Type="http://schemas.openxmlformats.org/officeDocument/2006/relationships/image" Target="media/16047e51f4acdaf858574f2bc9d80605fdefcd95.png"/><Relationship Id="rId34" Type="http://schemas.openxmlformats.org/officeDocument/2006/relationships/image" Target="media/7c6ed0b32ce7ff49215fca52c744922eb2dc1cc8.png"/><Relationship Id="rId35" Type="http://schemas.openxmlformats.org/officeDocument/2006/relationships/image" Target="media/57b84b01926d9cfe693f674fa784b93c85ad6e98.png"/><Relationship Id="rId36" Type="http://schemas.openxmlformats.org/officeDocument/2006/relationships/image" Target="media/bd00d4b15a2e793a8a12ebd8c7cc1d20e867b26e.png"/><Relationship Id="rId37" Type="http://schemas.openxmlformats.org/officeDocument/2006/relationships/image" Target="media/ce859eadc650a9c4e1b49605ed3d1219a1baecc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27</Pages>
  <Words>6425</Words>
  <Characters>36623</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MAKI</cp:lastModifiedBy>
  <cp:revision>67</cp:revision>
  <dcterms:created xsi:type="dcterms:W3CDTF">2026-08-17T12:48:00Z</dcterms:created>
  <dcterms:modified xsi:type="dcterms:W3CDTF">2026-09-04T14:17:00Z</dcterms:modified>
</cp:coreProperties>
</file>