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SCDI-SISTEMA DE CONTROLE DESPESAS E IMPOSTOS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Versão 1.0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17 de abril de 2026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Equipe Charlie</w:t>
        <w:br/>
        <w:t xml:space="preserve">Tech Lead: RODRIGO NUNES 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Members do squad: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Márcio Antônio Silva</w:t>
        <w:br/>
        <w:t xml:space="preserve">Gustavo Silva Costa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Ana Júlia Nascimento</w:t>
        <w:br/>
        <w:br/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CONTROLE DE VERSÃO</w:t>
      </w:r>
    </w:p>
    <w:tbl>
      <w:tblPr/>
      <w:tblGrid>
        <w:gridCol w:w="1381"/>
        <w:gridCol w:w="1417"/>
        <w:gridCol w:w="1275"/>
        <w:gridCol w:w="4547"/>
      </w:tblGrid>
      <w:tr>
        <w:trPr>
          <w:trHeight w:val="1" w:hRule="atLeast"/>
          <w:jc w:val="left"/>
        </w:trPr>
        <w:tc>
          <w:tcPr>
            <w:tcW w:w="13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Versão</w:t>
            </w:r>
          </w:p>
        </w:tc>
        <w:tc>
          <w:tcPr>
            <w:tcW w:w="14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</w:t>
            </w:r>
          </w:p>
        </w:tc>
        <w:tc>
          <w:tcPr>
            <w:tcW w:w="12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Autor</w:t>
            </w:r>
          </w:p>
        </w:tc>
        <w:tc>
          <w:tcPr>
            <w:tcW w:w="4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 da Alteração</w:t>
            </w:r>
          </w:p>
        </w:tc>
      </w:tr>
      <w:tr>
        <w:trPr>
          <w:trHeight w:val="1" w:hRule="atLeast"/>
          <w:jc w:val="left"/>
        </w:trPr>
        <w:tc>
          <w:tcPr>
            <w:tcW w:w="13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  <w:tc>
          <w:tcPr>
            <w:tcW w:w="14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17/04/2026</w:t>
            </w:r>
          </w:p>
        </w:tc>
        <w:tc>
          <w:tcPr>
            <w:tcW w:w="12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Equipe CHARLIE</w:t>
            </w:r>
          </w:p>
        </w:tc>
        <w:tc>
          <w:tcPr>
            <w:tcW w:w="4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Versão inicial da ERS com RF-01 a RF-05, RNF-01 a RNF-04, RN-01 a RN-06, UC-01 completo.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SUMÁRIO</w:t>
      </w:r>
    </w:p>
    <w:p>
      <w:pPr>
        <w:tabs>
          <w:tab w:val="right" w:pos="8630" w:leader="dot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1 Introdução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1.1 Objetivo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1.2 Escopo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1.3 Definições, siglas e abreviações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1.4 Referências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2 Descrição geral do produto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2.1 Perspectiva do produto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2.2 Funções do produto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2.3 Características dos usuários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2.4 Restrições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4</w:t>
      </w:r>
    </w:p>
    <w:p>
      <w:pPr>
        <w:tabs>
          <w:tab w:val="right" w:pos="8630" w:leader="dot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3 Requisitos específicos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4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3.1 Requisitos funcionais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4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3.2 Requisitos não funcionais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5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3.3 Regras de negócio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6</w:t>
      </w:r>
    </w:p>
    <w:p>
      <w:pPr>
        <w:tabs>
          <w:tab w:val="right" w:pos="8630" w:leader="dot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4 Casos de uso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4.1 Visão geral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right" w:pos="8630" w:leader="dot"/>
        </w:tabs>
        <w:spacing w:before="0" w:after="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4.2 UC-01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 Realizar controle de despesas e impostos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right" w:pos="8630" w:leader="dot"/>
        </w:tabs>
        <w:spacing w:before="0" w:after="0" w:line="360"/>
        <w:ind w:right="0" w:left="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Fluxo principal (cenário de sucesso)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right" w:pos="8630" w:leader="dot"/>
        </w:tabs>
        <w:spacing w:before="0" w:after="0" w:line="360"/>
        <w:ind w:right="0" w:left="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Fluxos alternativos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8</w:t>
      </w:r>
    </w:p>
    <w:p>
      <w:pPr>
        <w:tabs>
          <w:tab w:val="right" w:pos="8630" w:leader="dot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5 Matriz de rastreabilidade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8</w:t>
      </w:r>
    </w:p>
    <w:p>
      <w:pPr>
        <w:tabs>
          <w:tab w:val="right" w:pos="8630" w:leader="dot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u w:val="single"/>
          <w:shd w:fill="auto" w:val="clear"/>
        </w:rPr>
        <w:t xml:space="preserve">6 Anexo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9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27"/>
        </w:numPr>
        <w:spacing w:before="0" w:after="0" w:line="360"/>
        <w:ind w:right="0" w:left="284" w:hanging="284"/>
        <w:jc w:val="left"/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  <w:t xml:space="preserve">Introdução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1.1 Objetivo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Este documento descreve os requisitos funcionais, não funcionais e as regras de negócio do SCDI. Destina-se à equipe de desenvolvimento, aos gestores de controle de despesa e imposto e ao representante que participa da validação do sistema (ISO/IEC/IEEE, 2018).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365F9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1.2 Escopo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SCDI abrange os processos de controle de finanças, gerenciamento de tarefas e gerenciamento de relatórios. O sistema lança guias de pagamentos de impostos, controle de transações pessoais e comerciais.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1.3 Definições, siglas e abreviações</w:t>
      </w:r>
    </w:p>
    <w:tbl>
      <w:tblPr/>
      <w:tblGrid>
        <w:gridCol w:w="2117"/>
        <w:gridCol w:w="6503"/>
      </w:tblGrid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50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SCDI</w:t>
            </w:r>
          </w:p>
        </w:tc>
        <w:tc>
          <w:tcPr>
            <w:tcW w:w="650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Sistema  de Controle de Despesas e Impostos.</w:t>
            </w:r>
          </w:p>
        </w:tc>
      </w:tr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ERS</w:t>
            </w:r>
          </w:p>
        </w:tc>
        <w:tc>
          <w:tcPr>
            <w:tcW w:w="650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Especificação de Requisitos de Software</w:t>
            </w:r>
          </w:p>
        </w:tc>
      </w:tr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UC</w:t>
            </w:r>
          </w:p>
        </w:tc>
        <w:tc>
          <w:tcPr>
            <w:tcW w:w="650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Caso de uso (Use Case)</w:t>
            </w:r>
          </w:p>
        </w:tc>
      </w:tr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RF</w:t>
            </w:r>
          </w:p>
        </w:tc>
        <w:tc>
          <w:tcPr>
            <w:tcW w:w="650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Requisito funcional</w:t>
            </w:r>
          </w:p>
        </w:tc>
      </w:tr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RNF</w:t>
            </w:r>
          </w:p>
        </w:tc>
        <w:tc>
          <w:tcPr>
            <w:tcW w:w="650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Requisito não funcional</w:t>
            </w:r>
          </w:p>
        </w:tc>
      </w:tr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</w:t>
            </w:r>
          </w:p>
        </w:tc>
        <w:tc>
          <w:tcPr>
            <w:tcW w:w="650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Regra de negócio</w:t>
            </w:r>
          </w:p>
        </w:tc>
      </w:tr>
    </w:tbl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365F9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1.4 Referências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Reunião com o gestor  Roberto Mendonça  dia 27/03/2026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  <w:t xml:space="preserve">2 Descrição geral do produto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2.1 Perspectiva do produto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SCDI é um sistema e aplicativo web novo que substituirá o processo manual de contabilidade voltado para freelancers e autônomos. Será integrada ao Sistema a separação de despesas e receitas por categoria (pessoal ou comercial). Não possui dependência de hardware especializado.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2.2 Funções do produto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 resumo, o SCDI realizará: um controle e organização de tarefas e finanças mensalmente emissão de relatórios de lucros e perda; estimar seus impostos trimestrais.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2.3 Características dos usuários</w:t>
      </w:r>
    </w:p>
    <w:tbl>
      <w:tblPr/>
      <w:tblGrid>
        <w:gridCol w:w="2873"/>
        <w:gridCol w:w="2873"/>
        <w:gridCol w:w="2874"/>
      </w:tblGrid>
      <w:tr>
        <w:trPr>
          <w:trHeight w:val="1" w:hRule="atLeast"/>
          <w:jc w:val="left"/>
        </w:trPr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Ator</w:t>
            </w:r>
          </w:p>
        </w:tc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87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Nível Técnico</w:t>
            </w:r>
          </w:p>
        </w:tc>
      </w:tr>
      <w:tr>
        <w:trPr>
          <w:trHeight w:val="1" w:hRule="atLeast"/>
          <w:jc w:val="left"/>
        </w:trPr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freelancer</w:t>
            </w:r>
          </w:p>
        </w:tc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Usuário que necessita de controle de finanças e impostos </w:t>
            </w:r>
          </w:p>
        </w:tc>
        <w:tc>
          <w:tcPr>
            <w:tcW w:w="287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Básico</w:t>
            </w:r>
          </w:p>
        </w:tc>
      </w:tr>
      <w:tr>
        <w:trPr>
          <w:trHeight w:val="1" w:hRule="atLeast"/>
          <w:jc w:val="left"/>
        </w:trPr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Gestores </w:t>
            </w:r>
          </w:p>
        </w:tc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Técnicos especialistas em software e hardware.</w:t>
            </w:r>
          </w:p>
        </w:tc>
        <w:tc>
          <w:tcPr>
            <w:tcW w:w="287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Especialistas </w:t>
            </w:r>
          </w:p>
        </w:tc>
      </w:tr>
      <w:tr>
        <w:trPr>
          <w:trHeight w:val="1" w:hRule="atLeast"/>
          <w:jc w:val="left"/>
        </w:trPr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Sist. Pré-Requisitos</w:t>
            </w:r>
          </w:p>
        </w:tc>
        <w:tc>
          <w:tcPr>
            <w:tcW w:w="28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Sistema de controle de finanças e despesas </w:t>
            </w:r>
          </w:p>
        </w:tc>
        <w:tc>
          <w:tcPr>
            <w:tcW w:w="287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</w:tr>
    </w:tbl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Fonte: elaborado pelo autor.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2.4 Restrições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deve funcionar nos navegadores Chrome, Firefox e Edge (duas últimas versões estáveis). A autenticação será delegada ao SSO institucional (SAML 2.0). O banco de dados deve ser PostgreSQL 15 ou superior, conforme padrão da DTI.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  <w:t xml:space="preserve">3 Requisitos específicos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3.1 Requisitos Funcionais</w:t>
      </w:r>
    </w:p>
    <w:tbl>
      <w:tblPr/>
      <w:tblGrid>
        <w:gridCol w:w="983"/>
        <w:gridCol w:w="1701"/>
        <w:gridCol w:w="4613"/>
        <w:gridCol w:w="1323"/>
      </w:tblGrid>
      <w:tr>
        <w:trPr>
          <w:trHeight w:val="1" w:hRule="atLeast"/>
          <w:jc w:val="left"/>
        </w:trPr>
        <w:tc>
          <w:tcPr>
            <w:tcW w:w="98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7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Nome</w:t>
            </w:r>
          </w:p>
        </w:tc>
        <w:tc>
          <w:tcPr>
            <w:tcW w:w="46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132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98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RF-01</w:t>
            </w:r>
          </w:p>
        </w:tc>
        <w:tc>
          <w:tcPr>
            <w:tcW w:w="17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 Cadastro e autenticação de usuário</w:t>
            </w:r>
          </w:p>
        </w:tc>
        <w:tc>
          <w:tcPr>
            <w:tcW w:w="46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Permitir que o usuário crie uma conta, faça login e recupere senha para acessar seus dados com segurança.</w:t>
            </w:r>
          </w:p>
        </w:tc>
        <w:tc>
          <w:tcPr>
            <w:tcW w:w="132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98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RF-02</w:t>
            </w:r>
          </w:p>
        </w:tc>
        <w:tc>
          <w:tcPr>
            <w:tcW w:w="17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Registro de receitas e despesas</w:t>
            </w:r>
          </w:p>
        </w:tc>
        <w:tc>
          <w:tcPr>
            <w:tcW w:w="46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Permitir que o usuário adicione entradas e saídas de dinheiro, com valor, data, descrição e categoria.</w:t>
            </w:r>
          </w:p>
        </w:tc>
        <w:tc>
          <w:tcPr>
            <w:tcW w:w="132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 </w:t>
            </w:r>
          </w:p>
        </w:tc>
      </w:tr>
      <w:tr>
        <w:trPr>
          <w:trHeight w:val="1" w:hRule="atLeast"/>
          <w:jc w:val="left"/>
        </w:trPr>
        <w:tc>
          <w:tcPr>
            <w:tcW w:w="98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RF-03</w:t>
            </w:r>
          </w:p>
        </w:tc>
        <w:tc>
          <w:tcPr>
            <w:tcW w:w="17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Separação entre pessoal e profissional</w:t>
            </w:r>
          </w:p>
        </w:tc>
        <w:tc>
          <w:tcPr>
            <w:tcW w:w="46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 Classificar automaticamente ou manualmente cada transação como pessoal ou profissional.</w:t>
            </w:r>
          </w:p>
        </w:tc>
        <w:tc>
          <w:tcPr>
            <w:tcW w:w="132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98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RF-04</w:t>
            </w:r>
          </w:p>
        </w:tc>
        <w:tc>
          <w:tcPr>
            <w:tcW w:w="17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Dashboard com indicadores</w:t>
            </w:r>
          </w:p>
        </w:tc>
        <w:tc>
          <w:tcPr>
            <w:tcW w:w="46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FFFFFF" w:val="clear"/>
              </w:rPr>
              <w:t xml:space="preserve">Exibir métricas resumidas como saldo, despesas mensais e lucros por período.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32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98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RF-05</w:t>
            </w:r>
          </w:p>
        </w:tc>
        <w:tc>
          <w:tcPr>
            <w:tcW w:w="17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Upload de comprovantes</w:t>
            </w:r>
          </w:p>
        </w:tc>
        <w:tc>
          <w:tcPr>
            <w:tcW w:w="46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42424"/>
                <w:spacing w:val="0"/>
                <w:position w:val="0"/>
                <w:sz w:val="24"/>
                <w:shd w:fill="auto" w:val="clear"/>
              </w:rPr>
              <w:t xml:space="preserve">Permitir anexar fotos ou arquivos de recibos e notas fiscais às transações.</w:t>
            </w:r>
          </w:p>
        </w:tc>
        <w:tc>
          <w:tcPr>
            <w:tcW w:w="132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</w:tr>
    </w:tbl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365F91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3.2 Requisitos Não Funcionais</w:t>
      </w:r>
    </w:p>
    <w:tbl>
      <w:tblPr/>
      <w:tblGrid>
        <w:gridCol w:w="1119"/>
        <w:gridCol w:w="1469"/>
        <w:gridCol w:w="3356"/>
        <w:gridCol w:w="2676"/>
      </w:tblGrid>
      <w:tr>
        <w:trPr>
          <w:trHeight w:val="1" w:hRule="atLeast"/>
          <w:jc w:val="left"/>
        </w:trPr>
        <w:tc>
          <w:tcPr>
            <w:tcW w:w="11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46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Categoria</w:t>
            </w:r>
          </w:p>
        </w:tc>
        <w:tc>
          <w:tcPr>
            <w:tcW w:w="33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267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Métrica</w:t>
            </w:r>
          </w:p>
        </w:tc>
      </w:tr>
      <w:tr>
        <w:trPr>
          <w:trHeight w:val="1" w:hRule="atLeast"/>
          <w:jc w:val="left"/>
        </w:trPr>
        <w:tc>
          <w:tcPr>
            <w:tcW w:w="11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RNF-01</w:t>
            </w:r>
          </w:p>
        </w:tc>
        <w:tc>
          <w:tcPr>
            <w:tcW w:w="146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Usabilidade</w:t>
            </w:r>
          </w:p>
        </w:tc>
        <w:tc>
          <w:tcPr>
            <w:tcW w:w="33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Interface simples e intuitiva para registro rápido de transações</w:t>
            </w:r>
          </w:p>
        </w:tc>
        <w:tc>
          <w:tcPr>
            <w:tcW w:w="267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Usuário deve conseguir registrar uma transação em até 3 passos.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Tempo médio de registro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shd w:fill="auto" w:val="clear"/>
              </w:rPr>
              <w:t xml:space="preserve">≤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10 segundos.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Taxa de erro do usuário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shd w:fill="auto" w:val="clear"/>
              </w:rPr>
              <w:t xml:space="preserve">≤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5%</w:t>
              <w:br/>
              <w:t xml:space="preserve">Prioridade: Alta</w:t>
            </w:r>
          </w:p>
        </w:tc>
      </w:tr>
      <w:tr>
        <w:trPr>
          <w:trHeight w:val="1" w:hRule="atLeast"/>
          <w:jc w:val="left"/>
        </w:trPr>
        <w:tc>
          <w:tcPr>
            <w:tcW w:w="11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RNF-02</w:t>
            </w:r>
          </w:p>
        </w:tc>
        <w:tc>
          <w:tcPr>
            <w:tcW w:w="146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Desempenho</w:t>
            </w:r>
          </w:p>
        </w:tc>
        <w:tc>
          <w:tcPr>
            <w:tcW w:w="33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 responder rapidamente às ações do usuário (ex: tempo de resposta baixo).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Operações principais devem ocorrer sem travamentos perceptíveis.</w:t>
            </w:r>
          </w:p>
        </w:tc>
        <w:tc>
          <w:tcPr>
            <w:tcW w:w="267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99,5%</w:t>
            </w:r>
          </w:p>
        </w:tc>
      </w:tr>
      <w:tr>
        <w:trPr>
          <w:trHeight w:val="1" w:hRule="atLeast"/>
          <w:jc w:val="left"/>
        </w:trPr>
        <w:tc>
          <w:tcPr>
            <w:tcW w:w="11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RNF-03</w:t>
            </w:r>
          </w:p>
        </w:tc>
        <w:tc>
          <w:tcPr>
            <w:tcW w:w="146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Usabilidade</w:t>
            </w:r>
          </w:p>
        </w:tc>
        <w:tc>
          <w:tcPr>
            <w:tcW w:w="33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Interface simples e intuitiva.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Usuário deve conseguir completar a tarefa principal sem treinamento.</w:t>
            </w:r>
          </w:p>
        </w:tc>
        <w:tc>
          <w:tcPr>
            <w:tcW w:w="267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100% das ops.</w:t>
            </w:r>
          </w:p>
        </w:tc>
      </w:tr>
      <w:tr>
        <w:trPr>
          <w:trHeight w:val="1" w:hRule="atLeast"/>
          <w:jc w:val="left"/>
        </w:trPr>
        <w:tc>
          <w:tcPr>
            <w:tcW w:w="11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RNF-04</w:t>
            </w:r>
          </w:p>
        </w:tc>
        <w:tc>
          <w:tcPr>
            <w:tcW w:w="146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Segurança</w:t>
            </w:r>
          </w:p>
        </w:tc>
        <w:tc>
          <w:tcPr>
            <w:tcW w:w="33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Proteção básica de dados       (ex: autenticação, validação de entrada).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Evitar exposição de dados sensíveis. </w:t>
            </w:r>
          </w:p>
        </w:tc>
        <w:tc>
          <w:tcPr>
            <w:tcW w:w="267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Sistema de proteção de dados e firewall e criptografia de dados.</w:t>
            </w:r>
          </w:p>
        </w:tc>
      </w:tr>
    </w:tbl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Fonte: elaborado pelo autor com base em Sommerville (2011).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3.3 Regras de Negócio</w:t>
      </w:r>
    </w:p>
    <w:tbl>
      <w:tblPr/>
      <w:tblGrid>
        <w:gridCol w:w="909"/>
        <w:gridCol w:w="1802"/>
        <w:gridCol w:w="2666"/>
        <w:gridCol w:w="3685"/>
      </w:tblGrid>
      <w:tr>
        <w:trPr>
          <w:trHeight w:val="1" w:hRule="atLeast"/>
          <w:jc w:val="left"/>
        </w:trPr>
        <w:tc>
          <w:tcPr>
            <w:tcW w:w="9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180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Regra</w:t>
            </w:r>
          </w:p>
        </w:tc>
        <w:tc>
          <w:tcPr>
            <w:tcW w:w="266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36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Origem</w:t>
            </w:r>
          </w:p>
        </w:tc>
      </w:tr>
      <w:tr>
        <w:trPr>
          <w:trHeight w:val="1" w:hRule="atLeast"/>
          <w:jc w:val="left"/>
        </w:trPr>
        <w:tc>
          <w:tcPr>
            <w:tcW w:w="9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RN-01</w:t>
            </w:r>
          </w:p>
        </w:tc>
        <w:tc>
          <w:tcPr>
            <w:tcW w:w="180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Classificação de Transações</w:t>
            </w:r>
          </w:p>
        </w:tc>
        <w:tc>
          <w:tcPr>
            <w:tcW w:w="266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14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 permitir classificar transações como pessoais ou profissionais.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Base legal: separação patrimonial e organização financeira para fins fiscais</w:t>
              <w:br/>
              <w:t xml:space="preserve">Referência: Código Civil Brasileiro</w:t>
            </w:r>
          </w:p>
        </w:tc>
      </w:tr>
      <w:tr>
        <w:trPr>
          <w:trHeight w:val="1" w:hRule="atLeast"/>
          <w:jc w:val="left"/>
        </w:trPr>
        <w:tc>
          <w:tcPr>
            <w:tcW w:w="9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RN-02</w:t>
            </w:r>
          </w:p>
        </w:tc>
        <w:tc>
          <w:tcPr>
            <w:tcW w:w="180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Registro obrigatório de receitas</w:t>
            </w:r>
          </w:p>
        </w:tc>
        <w:tc>
          <w:tcPr>
            <w:tcW w:w="266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Toda receita profissional deve ser registrada no sistema.</w:t>
            </w:r>
          </w:p>
        </w:tc>
        <w:tc>
          <w:tcPr>
            <w:tcW w:w="36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Base legal: obrigatoriedade de informar rendimentos tributáveis</w:t>
              <w:br/>
              <w:t xml:space="preserve">Referências: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Lei nº 7.713/1988</w:t>
            </w:r>
          </w:p>
        </w:tc>
      </w:tr>
      <w:tr>
        <w:trPr>
          <w:trHeight w:val="1" w:hRule="atLeast"/>
          <w:jc w:val="left"/>
        </w:trPr>
        <w:tc>
          <w:tcPr>
            <w:tcW w:w="9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RN-03</w:t>
            </w:r>
          </w:p>
        </w:tc>
        <w:tc>
          <w:tcPr>
            <w:tcW w:w="180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Registro de despesas dedutíveis</w:t>
            </w:r>
          </w:p>
        </w:tc>
        <w:tc>
          <w:tcPr>
            <w:tcW w:w="266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 permitir registrar despesas vinculadas à atividade professional e apurar Cálculo correto dos impostos.</w:t>
            </w:r>
          </w:p>
        </w:tc>
        <w:tc>
          <w:tcPr>
            <w:tcW w:w="36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Base legal: deduções permitidas na apuração do IR</w:t>
              <w:br/>
              <w:t xml:space="preserve">Referência: Regulamento do Imposto de Renda</w:t>
            </w:r>
          </w:p>
        </w:tc>
      </w:tr>
      <w:tr>
        <w:trPr>
          <w:trHeight w:val="1" w:hRule="atLeast"/>
          <w:jc w:val="left"/>
        </w:trPr>
        <w:tc>
          <w:tcPr>
            <w:tcW w:w="9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RN-04</w:t>
            </w:r>
          </w:p>
        </w:tc>
        <w:tc>
          <w:tcPr>
            <w:tcW w:w="180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Apuração de lucro</w:t>
            </w:r>
          </w:p>
        </w:tc>
        <w:tc>
          <w:tcPr>
            <w:tcW w:w="266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 calcular automaticamente o lucro: receitas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despesas.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 estimar o imposto com base nos rendimentos.</w:t>
            </w:r>
          </w:p>
        </w:tc>
        <w:tc>
          <w:tcPr>
            <w:tcW w:w="36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Base legal: base de cálculo do imposto de renda</w:t>
              <w:br/>
              <w:t xml:space="preserve">Referência: Regulamento do Imposto de Renda - Referência: Carnê-Leão + Lei nº 8.134/1990</w:t>
            </w:r>
          </w:p>
        </w:tc>
      </w:tr>
      <w:tr>
        <w:trPr>
          <w:trHeight w:val="1" w:hRule="atLeast"/>
          <w:jc w:val="left"/>
        </w:trPr>
        <w:tc>
          <w:tcPr>
            <w:tcW w:w="9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RN-05</w:t>
            </w:r>
          </w:p>
        </w:tc>
        <w:tc>
          <w:tcPr>
            <w:tcW w:w="180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Geração de relatórios financeiros</w:t>
            </w:r>
          </w:p>
        </w:tc>
        <w:tc>
          <w:tcPr>
            <w:tcW w:w="266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-11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 gerar relatórios de lucro e prejuízo automaticamente.</w:t>
            </w:r>
          </w:p>
        </w:tc>
        <w:tc>
          <w:tcPr>
            <w:tcW w:w="36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Base legal: comprovação de informações declaradas</w:t>
              <w:br/>
              <w:t xml:space="preserve">Referência: Receita Federal do Brasil</w:t>
            </w:r>
          </w:p>
        </w:tc>
      </w:tr>
      <w:tr>
        <w:trPr>
          <w:trHeight w:val="1" w:hRule="atLeast"/>
          <w:jc w:val="left"/>
        </w:trPr>
        <w:tc>
          <w:tcPr>
            <w:tcW w:w="9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RN-06</w:t>
            </w:r>
          </w:p>
        </w:tc>
        <w:tc>
          <w:tcPr>
            <w:tcW w:w="180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Armazenamento de histórico financeiro</w:t>
            </w:r>
          </w:p>
        </w:tc>
        <w:tc>
          <w:tcPr>
            <w:tcW w:w="266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cancelamento de matrícula é permitido até 7 dias corridos após a data de confirmação.</w:t>
            </w:r>
          </w:p>
        </w:tc>
        <w:tc>
          <w:tcPr>
            <w:tcW w:w="36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Res. 42/2025, art. 25</w:t>
            </w:r>
          </w:p>
        </w:tc>
      </w:tr>
    </w:tbl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Fonte: elaborado pelo autor com base na Resolução nº 42/2025 da UFA.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  <w:t xml:space="preserve">4 Casos de uso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4.1 Visão geral</w:t>
      </w:r>
    </w:p>
    <w:p>
      <w:pPr>
        <w:keepNext w:val="true"/>
        <w:keepLines w:val="true"/>
        <w:spacing w:before="4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 sistema possui 4 casos de uso (UC-01 a UC-04), organizados em torno de um ator principal (Usuário/Freelancer) e um ator de sistema (Sistema de Cálculo Fiscal). O diagrama de casos de uso deve ser produzido como artefato complementar a esta ERS.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4.2 UC-01 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 Registrar Transa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ção</w:t>
      </w:r>
    </w:p>
    <w:tbl>
      <w:tblPr/>
      <w:tblGrid>
        <w:gridCol w:w="2547"/>
        <w:gridCol w:w="6073"/>
      </w:tblGrid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Identificador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UC-01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Nome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Transação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Ator Principal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Partes Interessadas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(organizar finanças);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 (armazenar dados corretamente)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Pré-condições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1. Usuário autenticado;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2. Aplicativo em funcionamento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Pós-condições (sucesso)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1. Transação salva no sistema;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2. Saldo atualizado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Gatilho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seleciona a opção "Adicionar transação"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Regras de Negócio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333333"/>
                <w:spacing w:val="0"/>
                <w:position w:val="0"/>
                <w:sz w:val="22"/>
                <w:shd w:fill="auto" w:val="clear"/>
              </w:rPr>
              <w:t xml:space="preserve">RN-01 (validação de dados), RN-02 (classificação obrigatória)</w:t>
            </w:r>
          </w:p>
        </w:tc>
      </w:tr>
      <w:tr>
        <w:trPr>
          <w:trHeight w:val="1" w:hRule="atLeast"/>
          <w:jc w:val="left"/>
        </w:trPr>
        <w:tc>
          <w:tcPr>
            <w:tcW w:w="25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Rastreabilidade</w:t>
            </w:r>
          </w:p>
        </w:tc>
        <w:tc>
          <w:tcPr>
            <w:tcW w:w="60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333333"/>
                <w:spacing w:val="0"/>
                <w:position w:val="0"/>
                <w:sz w:val="22"/>
                <w:shd w:fill="auto" w:val="clear"/>
              </w:rPr>
              <w:t xml:space="preserve">RF-01; RNF-02 (desempenho)</w:t>
            </w:r>
          </w:p>
        </w:tc>
      </w:tr>
    </w:tbl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Fonte: elaborado pelo autor com base em Cockburn (2001).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Fluxo principal (cenário de sucesso)</w:t>
      </w:r>
    </w:p>
    <w:tbl>
      <w:tblPr/>
      <w:tblGrid>
        <w:gridCol w:w="1555"/>
        <w:gridCol w:w="2126"/>
        <w:gridCol w:w="4939"/>
      </w:tblGrid>
      <w:tr>
        <w:trPr>
          <w:trHeight w:val="1" w:hRule="atLeast"/>
          <w:jc w:val="left"/>
        </w:trPr>
        <w:tc>
          <w:tcPr>
            <w:tcW w:w="155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Passo</w:t>
            </w:r>
          </w:p>
        </w:tc>
        <w:tc>
          <w:tcPr>
            <w:tcW w:w="212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Responsável</w:t>
            </w:r>
          </w:p>
        </w:tc>
        <w:tc>
          <w:tcPr>
            <w:tcW w:w="493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55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12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</w:t>
            </w:r>
          </w:p>
        </w:tc>
        <w:tc>
          <w:tcPr>
            <w:tcW w:w="493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Seleciona adicionar transação</w:t>
            </w:r>
          </w:p>
        </w:tc>
      </w:tr>
      <w:tr>
        <w:trPr>
          <w:trHeight w:val="1" w:hRule="atLeast"/>
          <w:jc w:val="left"/>
        </w:trPr>
        <w:tc>
          <w:tcPr>
            <w:tcW w:w="155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12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</w:t>
            </w:r>
          </w:p>
        </w:tc>
        <w:tc>
          <w:tcPr>
            <w:tcW w:w="493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Exibe formulário</w:t>
            </w:r>
          </w:p>
        </w:tc>
      </w:tr>
      <w:tr>
        <w:trPr>
          <w:trHeight w:val="1" w:hRule="atLeast"/>
          <w:jc w:val="left"/>
        </w:trPr>
        <w:tc>
          <w:tcPr>
            <w:tcW w:w="155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12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</w:t>
            </w:r>
          </w:p>
        </w:tc>
        <w:tc>
          <w:tcPr>
            <w:tcW w:w="493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Preenche dados (valor, tipo, categoria)</w:t>
            </w:r>
          </w:p>
        </w:tc>
      </w:tr>
      <w:tr>
        <w:trPr>
          <w:trHeight w:val="1" w:hRule="atLeast"/>
          <w:jc w:val="left"/>
        </w:trPr>
        <w:tc>
          <w:tcPr>
            <w:tcW w:w="155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12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</w:t>
            </w:r>
          </w:p>
        </w:tc>
        <w:tc>
          <w:tcPr>
            <w:tcW w:w="493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 informações</w:t>
            </w:r>
          </w:p>
        </w:tc>
      </w:tr>
      <w:tr>
        <w:trPr>
          <w:trHeight w:val="1" w:hRule="atLeast"/>
          <w:jc w:val="left"/>
        </w:trPr>
        <w:tc>
          <w:tcPr>
            <w:tcW w:w="155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12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</w:t>
            </w:r>
          </w:p>
        </w:tc>
        <w:tc>
          <w:tcPr>
            <w:tcW w:w="493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Salva transação e atualiza saldo</w:t>
            </w:r>
          </w:p>
        </w:tc>
      </w:tr>
      <w:tr>
        <w:trPr>
          <w:trHeight w:val="1" w:hRule="atLeast"/>
          <w:jc w:val="left"/>
        </w:trPr>
        <w:tc>
          <w:tcPr>
            <w:tcW w:w="155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12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</w:t>
            </w:r>
          </w:p>
        </w:tc>
        <w:tc>
          <w:tcPr>
            <w:tcW w:w="493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Exibe confirmação</w:t>
            </w:r>
          </w:p>
        </w:tc>
      </w:tr>
    </w:tbl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365F9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4"/>
          <w:shd w:fill="auto" w:val="clear"/>
        </w:rPr>
        <w:t xml:space="preserve">Fluxos alternativos</w:t>
      </w:r>
    </w:p>
    <w:tbl>
      <w:tblPr/>
      <w:tblGrid>
        <w:gridCol w:w="942"/>
        <w:gridCol w:w="1747"/>
        <w:gridCol w:w="2693"/>
        <w:gridCol w:w="3827"/>
      </w:tblGrid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7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Fluxo Alternativo</w:t>
            </w:r>
          </w:p>
        </w:tc>
        <w:tc>
          <w:tcPr>
            <w:tcW w:w="269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Condição de Origem</w:t>
            </w:r>
          </w:p>
        </w:tc>
        <w:tc>
          <w:tcPr>
            <w:tcW w:w="38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Ação do Sistema / Resposta Sugerida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FA01</w:t>
            </w:r>
          </w:p>
        </w:tc>
        <w:tc>
          <w:tcPr>
            <w:tcW w:w="17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Gasto Pessoal na Conta PJ</w:t>
            </w:r>
          </w:p>
        </w:tc>
        <w:tc>
          <w:tcPr>
            <w:tcW w:w="269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Quando o sistema importa um débito que não é profissional (ex: mercado, farmácia).</w:t>
            </w:r>
          </w:p>
        </w:tc>
        <w:tc>
          <w:tcPr>
            <w:tcW w:w="38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Permite ao usuário marcar como "Uso Pessoal". O sistema exclui o valor dos relatórios  de despesas de projetos.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FA02</w:t>
            </w:r>
          </w:p>
        </w:tc>
        <w:tc>
          <w:tcPr>
            <w:tcW w:w="17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Entrada de Valor Misto</w:t>
            </w:r>
          </w:p>
        </w:tc>
        <w:tc>
          <w:tcPr>
            <w:tcW w:w="269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Quando um pagamento recebido engloba dois projetos ou serviços diferentes.</w:t>
            </w:r>
          </w:p>
        </w:tc>
        <w:tc>
          <w:tcPr>
            <w:tcW w:w="38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Oferece a opção "Dividir Transação" (Split). O usuário atribui valores específicos para cada projeto/cliente.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FA03</w:t>
            </w:r>
          </w:p>
        </w:tc>
        <w:tc>
          <w:tcPr>
            <w:tcW w:w="17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Reclassificação de Categoria</w:t>
            </w:r>
          </w:p>
        </w:tc>
        <w:tc>
          <w:tcPr>
            <w:tcW w:w="269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Quando a IA categoriza erroneamente (ex: confunde uma assinatura de software com lazer).</w:t>
            </w:r>
          </w:p>
        </w:tc>
        <w:tc>
          <w:tcPr>
            <w:tcW w:w="38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O usuário altera a categoria manualmente. O sistema pergunta se deseja criar uma "Regra de Aprendizado" para esse favorecido.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FA04</w:t>
            </w:r>
          </w:p>
        </w:tc>
        <w:tc>
          <w:tcPr>
            <w:tcW w:w="17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Indisponibilidade de API</w:t>
            </w:r>
          </w:p>
        </w:tc>
        <w:tc>
          <w:tcPr>
            <w:tcW w:w="269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Quando a conexão via Open Finance falha ou o token expira.</w:t>
            </w:r>
          </w:p>
        </w:tc>
        <w:tc>
          <w:tcPr>
            <w:tcW w:w="38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Notifica o usuário e habilita o botão de "Importação Manual" via arquivo (CSV/OFX) ou adição manual de item.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FA05</w:t>
            </w:r>
          </w:p>
        </w:tc>
        <w:tc>
          <w:tcPr>
            <w:tcW w:w="17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Estorno de Pagamento</w:t>
            </w:r>
          </w:p>
        </w:tc>
        <w:tc>
          <w:tcPr>
            <w:tcW w:w="269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Quando um valor pago a um fornecedor volta para a conta profissional.</w:t>
            </w:r>
          </w:p>
        </w:tc>
        <w:tc>
          <w:tcPr>
            <w:tcW w:w="38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Identifica o crédito e sugere a vinculação ao débito original, anulando o impacto na coluna de custos.</w:t>
            </w:r>
          </w:p>
        </w:tc>
      </w:tr>
    </w:tbl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Fonte: elaborado pelo autor com base em Cockburn (2001).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24406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  <w:t xml:space="preserve">5 Matriz de Rastreabilidade</w:t>
      </w:r>
    </w:p>
    <w:tbl>
      <w:tblPr/>
      <w:tblGrid>
        <w:gridCol w:w="1413"/>
        <w:gridCol w:w="1559"/>
        <w:gridCol w:w="2552"/>
        <w:gridCol w:w="3096"/>
      </w:tblGrid>
      <w:tr>
        <w:trPr>
          <w:trHeight w:val="1" w:hRule="atLeast"/>
          <w:jc w:val="left"/>
        </w:trPr>
        <w:tc>
          <w:tcPr>
            <w:tcW w:w="14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ID Requisito</w:t>
            </w:r>
          </w:p>
        </w:tc>
        <w:tc>
          <w:tcPr>
            <w:tcW w:w="155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Descrição do Requisito</w:t>
            </w:r>
          </w:p>
        </w:tc>
        <w:tc>
          <w:tcPr>
            <w:tcW w:w="255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Necessidade/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Dor do Alex (Origem)</w:t>
            </w:r>
          </w:p>
        </w:tc>
        <w:tc>
          <w:tcPr>
            <w:tcW w:w="30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Caso de Uso / Fluxo Associado</w:t>
            </w:r>
          </w:p>
        </w:tc>
      </w:tr>
      <w:tr>
        <w:trPr>
          <w:trHeight w:val="1" w:hRule="atLeast"/>
          <w:jc w:val="left"/>
        </w:trPr>
        <w:tc>
          <w:tcPr>
            <w:tcW w:w="14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RF01</w:t>
            </w:r>
          </w:p>
        </w:tc>
        <w:tc>
          <w:tcPr>
            <w:tcW w:w="155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Integração via Open Finance</w:t>
            </w:r>
          </w:p>
        </w:tc>
        <w:tc>
          <w:tcPr>
            <w:tcW w:w="255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Dificuldade em organizar e separar transações manualmente.</w:t>
            </w:r>
          </w:p>
        </w:tc>
        <w:tc>
          <w:tcPr>
            <w:tcW w:w="30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Fluxo Principal: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 Importação automática de dados bancários.</w:t>
            </w:r>
          </w:p>
        </w:tc>
      </w:tr>
      <w:tr>
        <w:trPr>
          <w:trHeight w:val="1" w:hRule="atLeast"/>
          <w:jc w:val="left"/>
        </w:trPr>
        <w:tc>
          <w:tcPr>
            <w:tcW w:w="14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RF02</w:t>
            </w:r>
          </w:p>
        </w:tc>
        <w:tc>
          <w:tcPr>
            <w:tcW w:w="155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Separação de Gastos Pessoais</w:t>
            </w:r>
          </w:p>
        </w:tc>
        <w:tc>
          <w:tcPr>
            <w:tcW w:w="255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Confusão entre despesas pessoais e profissionais.</w:t>
            </w:r>
          </w:p>
        </w:tc>
        <w:tc>
          <w:tcPr>
            <w:tcW w:w="30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FA01: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 Marcar transação como "Uso Pessoal".</w:t>
            </w:r>
          </w:p>
        </w:tc>
      </w:tr>
      <w:tr>
        <w:trPr>
          <w:trHeight w:val="1" w:hRule="atLeast"/>
          <w:jc w:val="left"/>
        </w:trPr>
        <w:tc>
          <w:tcPr>
            <w:tcW w:w="14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RF03</w:t>
            </w:r>
          </w:p>
        </w:tc>
        <w:tc>
          <w:tcPr>
            <w:tcW w:w="155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Estimativa de Imposto Trimestral</w:t>
            </w:r>
          </w:p>
        </w:tc>
        <w:tc>
          <w:tcPr>
            <w:tcW w:w="255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Medo de pagar mais impostos do que o devido.</w:t>
            </w:r>
          </w:p>
        </w:tc>
        <w:tc>
          <w:tcPr>
            <w:tcW w:w="30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Cálculo Automático: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 Aplicação de alíquota sobre receita bruta.</w:t>
            </w:r>
          </w:p>
        </w:tc>
      </w:tr>
      <w:tr>
        <w:trPr>
          <w:trHeight w:val="1" w:hRule="atLeast"/>
          <w:jc w:val="left"/>
        </w:trPr>
        <w:tc>
          <w:tcPr>
            <w:tcW w:w="14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RF04</w:t>
            </w:r>
          </w:p>
        </w:tc>
        <w:tc>
          <w:tcPr>
            <w:tcW w:w="155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Categorização Inteligente (IA)</w:t>
            </w:r>
          </w:p>
        </w:tc>
        <w:tc>
          <w:tcPr>
            <w:tcW w:w="255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Falta de tempo e desejo por simplicidade.</w:t>
            </w:r>
          </w:p>
        </w:tc>
        <w:tc>
          <w:tcPr>
            <w:tcW w:w="30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FA03: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 Aprendizado de máquina para novos favorecidos.</w:t>
            </w:r>
          </w:p>
        </w:tc>
      </w:tr>
      <w:tr>
        <w:trPr>
          <w:trHeight w:val="1" w:hRule="atLeast"/>
          <w:jc w:val="left"/>
        </w:trPr>
        <w:tc>
          <w:tcPr>
            <w:tcW w:w="141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RF05</w:t>
            </w:r>
          </w:p>
        </w:tc>
        <w:tc>
          <w:tcPr>
            <w:tcW w:w="155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Relatório de Lucros e Perdas (L&amp;P)</w:t>
            </w:r>
          </w:p>
        </w:tc>
        <w:tc>
          <w:tcPr>
            <w:tcW w:w="255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Impossibilidade de calcular a rentabilidade real dos projetos.</w:t>
            </w:r>
          </w:p>
        </w:tc>
        <w:tc>
          <w:tcPr>
            <w:tcW w:w="309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Dashboard: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2"/>
                <w:shd w:fill="auto" w:val="clear"/>
              </w:rPr>
              <w:t xml:space="preserve"> Visualização de Receita vs. Despesas.</w:t>
            </w:r>
          </w:p>
        </w:tc>
      </w:tr>
    </w:tbl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Fonte: elaborado pelo autor com base em Sommerville (2011).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44061"/>
          <w:spacing w:val="0"/>
          <w:position w:val="0"/>
          <w:sz w:val="24"/>
          <w:shd w:fill="auto" w:val="clear"/>
        </w:rPr>
        <w:t xml:space="preserve">6 Anexo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Repositório: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https://github.com/ana-julia-an/Charlie</w:t>
        </w:r>
      </w:hyperlink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558" w:dyaOrig="4206">
          <v:rect xmlns:o="urn:schemas-microsoft-com:office:office" xmlns:v="urn:schemas-microsoft-com:vml" id="rectole0000000000" style="width:477.900000pt;height:210.3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738" w:dyaOrig="4524">
          <v:rect xmlns:o="urn:schemas-microsoft-com:office:office" xmlns:v="urn:schemas-microsoft-com:vml" id="rectole0000000001" style="width:436.900000pt;height:226.2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Diagrama de Caso de Uso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SCDI</w:t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Mode="External" Target="https://github.com/ana-julia-an/Charlie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