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3642A" w14:textId="77777777" w:rsidR="007709BE" w:rsidRPr="007709BE" w:rsidRDefault="007709BE" w:rsidP="007709BE">
      <w:pPr>
        <w:shd w:val="clear" w:color="auto" w:fill="FFFFFF"/>
        <w:spacing w:before="240" w:after="1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7709B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de-DE"/>
          <w14:ligatures w14:val="none"/>
        </w:rPr>
        <w:t xml:space="preserve">Disclosure </w:t>
      </w:r>
      <w:proofErr w:type="spellStart"/>
      <w:r w:rsidRPr="007709B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de-DE"/>
          <w14:ligatures w14:val="none"/>
        </w:rPr>
        <w:t>Requirement</w:t>
      </w:r>
      <w:proofErr w:type="spellEnd"/>
      <w:r w:rsidRPr="007709B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de-DE"/>
          <w14:ligatures w14:val="none"/>
        </w:rPr>
        <w:t xml:space="preserve"> E1-1 – Transition plan </w:t>
      </w:r>
      <w:proofErr w:type="spellStart"/>
      <w:r w:rsidRPr="007709B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de-DE"/>
          <w14:ligatures w14:val="none"/>
        </w:rPr>
        <w:t>for</w:t>
      </w:r>
      <w:proofErr w:type="spellEnd"/>
      <w:r w:rsidRPr="007709B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709B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de-DE"/>
          <w14:ligatures w14:val="none"/>
        </w:rPr>
        <w:t>climate</w:t>
      </w:r>
      <w:proofErr w:type="spellEnd"/>
      <w:r w:rsidRPr="007709B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709B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de-DE"/>
          <w14:ligatures w14:val="none"/>
        </w:rPr>
        <w:t>change</w:t>
      </w:r>
      <w:proofErr w:type="spellEnd"/>
      <w:r w:rsidRPr="007709B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7709B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de-DE"/>
          <w14:ligatures w14:val="none"/>
        </w:rPr>
        <w:t>mitigation</w:t>
      </w:r>
      <w:proofErr w:type="spell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08"/>
        <w:gridCol w:w="8758"/>
      </w:tblGrid>
      <w:tr w:rsidR="007709BE" w:rsidRPr="007709BE" w14:paraId="4679E6C4" w14:textId="77777777" w:rsidTr="007709BE">
        <w:trPr>
          <w:tblCellSpacing w:w="0" w:type="dxa"/>
        </w:trPr>
        <w:tc>
          <w:tcPr>
            <w:tcW w:w="0" w:type="auto"/>
            <w:hideMark/>
          </w:tcPr>
          <w:p w14:paraId="05966385" w14:textId="77777777" w:rsidR="007709BE" w:rsidRPr="007709BE" w:rsidRDefault="007709BE" w:rsidP="007709B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574AAFF" w14:textId="77777777" w:rsidR="007709BE" w:rsidRPr="007709BE" w:rsidRDefault="007709BE" w:rsidP="007709BE">
            <w:pPr>
              <w:spacing w:before="120"/>
              <w:jc w:val="both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14.</w:t>
            </w:r>
          </w:p>
        </w:tc>
        <w:tc>
          <w:tcPr>
            <w:tcW w:w="0" w:type="auto"/>
            <w:hideMark/>
          </w:tcPr>
          <w:p w14:paraId="17D0F5FF" w14:textId="77777777" w:rsidR="007709BE" w:rsidRPr="007709BE" w:rsidRDefault="007709BE" w:rsidP="007709BE">
            <w:pP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7709BE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 xml:space="preserve">The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undertaking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shall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disclose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its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 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de-DE"/>
                <w14:ligatures w14:val="none"/>
              </w:rPr>
              <w:t>transition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de-DE"/>
                <w14:ligatures w14:val="none"/>
              </w:rPr>
              <w:t xml:space="preserve"> plan 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for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 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de-DE"/>
                <w14:ligatures w14:val="none"/>
              </w:rPr>
              <w:t>climate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de-DE"/>
                <w14:ligatures w14:val="none"/>
              </w:rPr>
              <w:t>change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de-DE"/>
                <w14:ligatures w14:val="none"/>
              </w:rPr>
              <w:t>mitigatio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de-DE"/>
                <w14:ligatures w14:val="none"/>
              </w:rPr>
              <w:t> </w:t>
            </w:r>
            <w:r w:rsidRPr="007709BE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n </w:t>
            </w:r>
            <w:hyperlink r:id="rId4" w:anchor="ntr35-L_202302772EN.000301-E0028" w:history="1">
              <w:r w:rsidRPr="007709BE">
                <w:rPr>
                  <w:rFonts w:ascii="Times New Roman" w:eastAsia="Times New Roman" w:hAnsi="Times New Roman" w:cs="Times New Roman"/>
                  <w:color w:val="000000"/>
                  <w:kern w:val="0"/>
                  <w:u w:val="single"/>
                  <w:lang w:eastAsia="de-DE"/>
                  <w14:ligatures w14:val="none"/>
                </w:rPr>
                <w:t>( </w:t>
              </w:r>
              <w:r w:rsidRPr="007709BE">
                <w:rPr>
                  <w:rFonts w:ascii="Times New Roman" w:eastAsia="Times New Roman" w:hAnsi="Times New Roman" w:cs="Times New Roman"/>
                  <w:color w:val="000000"/>
                  <w:kern w:val="0"/>
                  <w:sz w:val="17"/>
                  <w:szCs w:val="17"/>
                  <w:vertAlign w:val="superscript"/>
                  <w:lang w:eastAsia="de-DE"/>
                  <w14:ligatures w14:val="none"/>
                </w:rPr>
                <w:t>35 </w:t>
              </w:r>
              <w:r w:rsidRPr="007709BE">
                <w:rPr>
                  <w:rFonts w:ascii="Times New Roman" w:eastAsia="Times New Roman" w:hAnsi="Times New Roman" w:cs="Times New Roman"/>
                  <w:color w:val="000000"/>
                  <w:kern w:val="0"/>
                  <w:u w:val="single"/>
                  <w:lang w:eastAsia="de-DE"/>
                  <w14:ligatures w14:val="none"/>
                </w:rPr>
                <w:t>) </w:t>
              </w:r>
            </w:hyperlink>
            <w:r w:rsidRPr="007709BE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.</w:t>
            </w:r>
          </w:p>
        </w:tc>
      </w:tr>
    </w:tbl>
    <w:p w14:paraId="4D96D0B5" w14:textId="77777777" w:rsidR="007709BE" w:rsidRPr="007709BE" w:rsidRDefault="007709BE" w:rsidP="007709BE">
      <w:pPr>
        <w:rPr>
          <w:rFonts w:ascii="Times New Roman" w:eastAsia="Times New Roman" w:hAnsi="Times New Roman" w:cs="Times New Roman"/>
          <w:vanish/>
          <w:kern w:val="0"/>
          <w:lang w:eastAsia="de-DE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00"/>
        <w:gridCol w:w="8766"/>
      </w:tblGrid>
      <w:tr w:rsidR="007709BE" w:rsidRPr="007709BE" w14:paraId="686EC247" w14:textId="77777777" w:rsidTr="007709BE">
        <w:trPr>
          <w:tblCellSpacing w:w="0" w:type="dxa"/>
        </w:trPr>
        <w:tc>
          <w:tcPr>
            <w:tcW w:w="0" w:type="auto"/>
            <w:hideMark/>
          </w:tcPr>
          <w:p w14:paraId="2DD191FD" w14:textId="77777777" w:rsidR="007709BE" w:rsidRPr="007709BE" w:rsidRDefault="007709BE" w:rsidP="007709BE">
            <w:pP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BDA4F68" w14:textId="77777777" w:rsidR="007709BE" w:rsidRPr="007709BE" w:rsidRDefault="007709BE" w:rsidP="007709BE">
            <w:pPr>
              <w:spacing w:before="120"/>
              <w:jc w:val="both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15.</w:t>
            </w:r>
          </w:p>
        </w:tc>
        <w:tc>
          <w:tcPr>
            <w:tcW w:w="0" w:type="auto"/>
            <w:hideMark/>
          </w:tcPr>
          <w:p w14:paraId="612520F8" w14:textId="77777777" w:rsidR="007709BE" w:rsidRPr="007709BE" w:rsidRDefault="007709BE" w:rsidP="007709BE">
            <w:pP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The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objective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of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this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Disclosure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Requirement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is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to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enable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an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understanding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of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undertaking’s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past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,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current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, and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future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mitigation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efforts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to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ensure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that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its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strategy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and 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de-DE"/>
                <w14:ligatures w14:val="none"/>
              </w:rPr>
              <w:t>business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de-DE"/>
                <w14:ligatures w14:val="none"/>
              </w:rPr>
              <w:t>model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de-DE"/>
                <w14:ligatures w14:val="none"/>
              </w:rPr>
              <w:t> 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are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compatible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with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transition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to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a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sustainable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economy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, and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with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limiting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of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global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warming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to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1.5 °C in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line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with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Paris Agreement and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with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objective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of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achieving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climate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neutrality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by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2050 and,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where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relevant,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undertaking’s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exposure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to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coal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,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oil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and gas-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related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activities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.</w:t>
            </w:r>
          </w:p>
        </w:tc>
      </w:tr>
    </w:tbl>
    <w:p w14:paraId="7C20051E" w14:textId="77777777" w:rsidR="007709BE" w:rsidRPr="007709BE" w:rsidRDefault="007709BE" w:rsidP="007709BE">
      <w:pPr>
        <w:rPr>
          <w:rFonts w:ascii="Times New Roman" w:eastAsia="Times New Roman" w:hAnsi="Times New Roman" w:cs="Times New Roman"/>
          <w:vanish/>
          <w:kern w:val="0"/>
          <w:lang w:eastAsia="de-DE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00"/>
        <w:gridCol w:w="8766"/>
      </w:tblGrid>
      <w:tr w:rsidR="007709BE" w:rsidRPr="007709BE" w14:paraId="76BB9C96" w14:textId="77777777" w:rsidTr="007709BE">
        <w:trPr>
          <w:tblCellSpacing w:w="0" w:type="dxa"/>
        </w:trPr>
        <w:tc>
          <w:tcPr>
            <w:tcW w:w="0" w:type="auto"/>
            <w:hideMark/>
          </w:tcPr>
          <w:p w14:paraId="73713C3E" w14:textId="77777777" w:rsidR="007709BE" w:rsidRPr="007709BE" w:rsidRDefault="007709BE" w:rsidP="007709BE">
            <w:pP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A210989" w14:textId="77777777" w:rsidR="007709BE" w:rsidRPr="007709BE" w:rsidRDefault="007709BE" w:rsidP="007709BE">
            <w:pPr>
              <w:spacing w:before="120"/>
              <w:jc w:val="both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16.</w:t>
            </w:r>
          </w:p>
        </w:tc>
        <w:tc>
          <w:tcPr>
            <w:tcW w:w="0" w:type="auto"/>
            <w:hideMark/>
          </w:tcPr>
          <w:p w14:paraId="4077C614" w14:textId="77777777" w:rsidR="007709BE" w:rsidRPr="007709BE" w:rsidRDefault="007709BE" w:rsidP="007709BE">
            <w:pP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The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information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required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by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paragraph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14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shall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include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: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7"/>
              <w:gridCol w:w="8499"/>
            </w:tblGrid>
            <w:tr w:rsidR="007709BE" w:rsidRPr="007709BE" w14:paraId="1E74F1D0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DF6CA07" w14:textId="77777777" w:rsidR="007709BE" w:rsidRPr="007709BE" w:rsidRDefault="007709BE" w:rsidP="007709BE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</w:pPr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(a)</w:t>
                  </w:r>
                </w:p>
              </w:tc>
              <w:tc>
                <w:tcPr>
                  <w:tcW w:w="0" w:type="auto"/>
                  <w:hideMark/>
                </w:tcPr>
                <w:p w14:paraId="0FB14371" w14:textId="77777777" w:rsidR="007709BE" w:rsidRPr="007709BE" w:rsidRDefault="007709BE" w:rsidP="007709BE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</w:pP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by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reference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to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 </w:t>
                  </w:r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GHG 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emission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reduction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targets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 </w:t>
                  </w:r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(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as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required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by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Disclosure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Requirement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E1-4), an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explanation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of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how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undertaking’s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targets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are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compatible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with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limiting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of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global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warming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to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1.5°C in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line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with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Paris Agreement;</w:t>
                  </w:r>
                </w:p>
              </w:tc>
            </w:tr>
          </w:tbl>
          <w:p w14:paraId="076D6F0A" w14:textId="77777777" w:rsidR="007709BE" w:rsidRPr="007709BE" w:rsidRDefault="007709BE" w:rsidP="007709BE">
            <w:pPr>
              <w:rPr>
                <w:rFonts w:ascii="Times New Roman" w:eastAsia="Times New Roman" w:hAnsi="Times New Roman" w:cs="Times New Roman"/>
                <w:vanish/>
                <w:kern w:val="0"/>
                <w:lang w:eastAsia="de-DE"/>
                <w14:ligatures w14:val="none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0"/>
              <w:gridCol w:w="8486"/>
            </w:tblGrid>
            <w:tr w:rsidR="007709BE" w:rsidRPr="007709BE" w14:paraId="7FE2AFE7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C498823" w14:textId="77777777" w:rsidR="007709BE" w:rsidRPr="007709BE" w:rsidRDefault="007709BE" w:rsidP="007709BE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</w:pPr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(b)</w:t>
                  </w:r>
                </w:p>
              </w:tc>
              <w:tc>
                <w:tcPr>
                  <w:tcW w:w="0" w:type="auto"/>
                  <w:hideMark/>
                </w:tcPr>
                <w:p w14:paraId="7BF84E59" w14:textId="77777777" w:rsidR="007709BE" w:rsidRPr="007709BE" w:rsidRDefault="007709BE" w:rsidP="007709BE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</w:pP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by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reference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to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GHG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emission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reduction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targets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(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as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required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by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Disclosure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Requirement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E1-4) and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 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climate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change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mitigation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 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actions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 </w:t>
                  </w:r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(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as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required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by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Disclosure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Requirement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E1-3), an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explanation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of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 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decarbonisation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levers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 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identified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, and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key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actions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planned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,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including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changes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in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undertaking’s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product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and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service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portfolio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and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adoption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of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new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technologies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in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its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own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operations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,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or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upstream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 and/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or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downstream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value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chain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;</w:t>
                  </w:r>
                </w:p>
              </w:tc>
            </w:tr>
          </w:tbl>
          <w:p w14:paraId="36832F9F" w14:textId="77777777" w:rsidR="007709BE" w:rsidRPr="007709BE" w:rsidRDefault="007709BE" w:rsidP="007709BE">
            <w:pPr>
              <w:rPr>
                <w:rFonts w:ascii="Times New Roman" w:eastAsia="Times New Roman" w:hAnsi="Times New Roman" w:cs="Times New Roman"/>
                <w:vanish/>
                <w:kern w:val="0"/>
                <w:lang w:eastAsia="de-DE"/>
                <w14:ligatures w14:val="none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7"/>
              <w:gridCol w:w="8499"/>
            </w:tblGrid>
            <w:tr w:rsidR="007709BE" w:rsidRPr="007709BE" w14:paraId="01FA8F0C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1C6C698" w14:textId="77777777" w:rsidR="007709BE" w:rsidRPr="007709BE" w:rsidRDefault="007709BE" w:rsidP="007709BE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</w:pPr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(c)</w:t>
                  </w:r>
                </w:p>
              </w:tc>
              <w:tc>
                <w:tcPr>
                  <w:tcW w:w="0" w:type="auto"/>
                  <w:hideMark/>
                </w:tcPr>
                <w:p w14:paraId="21BD9B46" w14:textId="77777777" w:rsidR="007709BE" w:rsidRPr="007709BE" w:rsidRDefault="007709BE" w:rsidP="007709BE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</w:pP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by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reference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to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 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climate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change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mitigation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 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actions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 </w:t>
                  </w:r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(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as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required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by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Disclosure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Requirement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E1-3), an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explanation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and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quantification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of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undertaking’s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investments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and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funding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supporting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implementation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of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its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 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transition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 xml:space="preserve"> plan, 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with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a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reference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to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key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performance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indicators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of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taxonomy-aligned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CapEx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, and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where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relevant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CapEx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plans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,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that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undertaking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discloses in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accordance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with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Commission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Delegated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Regulation (EU) 2021/2178;</w:t>
                  </w:r>
                </w:p>
              </w:tc>
            </w:tr>
          </w:tbl>
          <w:p w14:paraId="044E5ED5" w14:textId="77777777" w:rsidR="007709BE" w:rsidRPr="007709BE" w:rsidRDefault="007709BE" w:rsidP="007709BE">
            <w:pPr>
              <w:rPr>
                <w:rFonts w:ascii="Times New Roman" w:eastAsia="Times New Roman" w:hAnsi="Times New Roman" w:cs="Times New Roman"/>
                <w:vanish/>
                <w:kern w:val="0"/>
                <w:lang w:eastAsia="de-DE"/>
                <w14:ligatures w14:val="none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0"/>
              <w:gridCol w:w="8486"/>
            </w:tblGrid>
            <w:tr w:rsidR="007709BE" w:rsidRPr="007709BE" w14:paraId="76A91FEC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D98CFF2" w14:textId="77777777" w:rsidR="007709BE" w:rsidRPr="007709BE" w:rsidRDefault="007709BE" w:rsidP="007709BE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</w:pPr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(d)</w:t>
                  </w:r>
                </w:p>
              </w:tc>
              <w:tc>
                <w:tcPr>
                  <w:tcW w:w="0" w:type="auto"/>
                  <w:hideMark/>
                </w:tcPr>
                <w:p w14:paraId="7A6E5B15" w14:textId="77777777" w:rsidR="007709BE" w:rsidRPr="007709BE" w:rsidRDefault="007709BE" w:rsidP="007709BE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</w:pPr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a qualitative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assessment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of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potential 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locked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-in GHG 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emissions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 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from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undertaking’s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key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assets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and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products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. This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shall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include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an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explanation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of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if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and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how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these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 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emissions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 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may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jeopardise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achievement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of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undertaking’s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 </w:t>
                  </w:r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 xml:space="preserve">GHG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emission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reduction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targets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 </w:t>
                  </w:r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and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drive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 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transition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proofErr w:type="gramStart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risk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 </w:t>
                  </w:r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,</w:t>
                  </w:r>
                  <w:proofErr w:type="gram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and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if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applicable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, an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explanation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of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undertaking’s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plans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to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manage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its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GHG-intensive and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energy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-intensive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assets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and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products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;</w:t>
                  </w:r>
                </w:p>
              </w:tc>
            </w:tr>
          </w:tbl>
          <w:p w14:paraId="513AA522" w14:textId="77777777" w:rsidR="007709BE" w:rsidRPr="007709BE" w:rsidRDefault="007709BE" w:rsidP="007709BE">
            <w:pPr>
              <w:rPr>
                <w:rFonts w:ascii="Times New Roman" w:eastAsia="Times New Roman" w:hAnsi="Times New Roman" w:cs="Times New Roman"/>
                <w:vanish/>
                <w:kern w:val="0"/>
                <w:lang w:eastAsia="de-DE"/>
                <w14:ligatures w14:val="none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7"/>
              <w:gridCol w:w="8499"/>
            </w:tblGrid>
            <w:tr w:rsidR="007709BE" w:rsidRPr="007709BE" w14:paraId="46D5D58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DDE1B1" w14:textId="77777777" w:rsidR="007709BE" w:rsidRPr="007709BE" w:rsidRDefault="007709BE" w:rsidP="007709BE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</w:pPr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(e)</w:t>
                  </w:r>
                </w:p>
              </w:tc>
              <w:tc>
                <w:tcPr>
                  <w:tcW w:w="0" w:type="auto"/>
                  <w:hideMark/>
                </w:tcPr>
                <w:p w14:paraId="4828230F" w14:textId="77777777" w:rsidR="007709BE" w:rsidRPr="007709BE" w:rsidRDefault="007709BE" w:rsidP="007709BE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</w:pP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for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undertakings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with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economic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activities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that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are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covered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by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delegated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regulations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on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climate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adaptation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or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mitigation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under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Taxonomy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Regulation, an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explanation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of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any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objective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or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plans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(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CapEX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,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CapEx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plans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,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OpEX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)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that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undertaking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has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for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aligning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its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economic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activities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(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revenues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,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CapEx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,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OpEx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)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with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criteria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established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in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Commission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Delegated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Regulation 2021/2139 </w:t>
                  </w:r>
                  <w:hyperlink r:id="rId5" w:anchor="ntr36-L_202302772EN.000301-E0029" w:history="1">
                    <w:r w:rsidRPr="007709BE">
                      <w:rPr>
                        <w:rFonts w:ascii="Times New Roman" w:eastAsia="Times New Roman" w:hAnsi="Times New Roman" w:cs="Times New Roman"/>
                        <w:color w:val="000000"/>
                        <w:kern w:val="0"/>
                        <w:u w:val="single"/>
                        <w:lang w:eastAsia="de-DE"/>
                        <w14:ligatures w14:val="none"/>
                      </w:rPr>
                      <w:t>( </w:t>
                    </w:r>
                    <w:r w:rsidRPr="007709BE">
                      <w:rPr>
                        <w:rFonts w:ascii="Times New Roman" w:eastAsia="Times New Roman" w:hAnsi="Times New Roman" w:cs="Times New Roman"/>
                        <w:color w:val="000000"/>
                        <w:kern w:val="0"/>
                        <w:sz w:val="17"/>
                        <w:szCs w:val="17"/>
                        <w:vertAlign w:val="superscript"/>
                        <w:lang w:eastAsia="de-DE"/>
                        <w14:ligatures w14:val="none"/>
                      </w:rPr>
                      <w:t>36 </w:t>
                    </w:r>
                    <w:r w:rsidRPr="007709BE">
                      <w:rPr>
                        <w:rFonts w:ascii="Times New Roman" w:eastAsia="Times New Roman" w:hAnsi="Times New Roman" w:cs="Times New Roman"/>
                        <w:color w:val="000000"/>
                        <w:kern w:val="0"/>
                        <w:u w:val="single"/>
                        <w:lang w:eastAsia="de-DE"/>
                        <w14:ligatures w14:val="none"/>
                      </w:rPr>
                      <w:t>) </w:t>
                    </w:r>
                  </w:hyperlink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;</w:t>
                  </w:r>
                </w:p>
              </w:tc>
            </w:tr>
          </w:tbl>
          <w:p w14:paraId="146DAF81" w14:textId="77777777" w:rsidR="007709BE" w:rsidRPr="007709BE" w:rsidRDefault="007709BE" w:rsidP="007709BE">
            <w:pPr>
              <w:rPr>
                <w:rFonts w:ascii="Times New Roman" w:eastAsia="Times New Roman" w:hAnsi="Times New Roman" w:cs="Times New Roman"/>
                <w:vanish/>
                <w:kern w:val="0"/>
                <w:lang w:eastAsia="de-DE"/>
                <w14:ligatures w14:val="none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8526"/>
            </w:tblGrid>
            <w:tr w:rsidR="007709BE" w:rsidRPr="007709BE" w14:paraId="69EC04F0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EF2AD52" w14:textId="77777777" w:rsidR="007709BE" w:rsidRPr="007709BE" w:rsidRDefault="007709BE" w:rsidP="007709BE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</w:pPr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(f)</w:t>
                  </w:r>
                </w:p>
              </w:tc>
              <w:tc>
                <w:tcPr>
                  <w:tcW w:w="0" w:type="auto"/>
                  <w:hideMark/>
                </w:tcPr>
                <w:p w14:paraId="4EF00B3D" w14:textId="77777777" w:rsidR="007709BE" w:rsidRPr="007709BE" w:rsidRDefault="007709BE" w:rsidP="007709BE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</w:pP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if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applicable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, a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disclosure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of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significant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CapEx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amounts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invested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during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reporting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period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related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to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coal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,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oil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and gas-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related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economic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activities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; </w:t>
                  </w:r>
                  <w:hyperlink r:id="rId6" w:anchor="ntr37-L_202302772EN.000301-E0030" w:history="1">
                    <w:r w:rsidRPr="007709BE">
                      <w:rPr>
                        <w:rFonts w:ascii="Times New Roman" w:eastAsia="Times New Roman" w:hAnsi="Times New Roman" w:cs="Times New Roman"/>
                        <w:color w:val="000000"/>
                        <w:kern w:val="0"/>
                        <w:u w:val="single"/>
                        <w:lang w:eastAsia="de-DE"/>
                        <w14:ligatures w14:val="none"/>
                      </w:rPr>
                      <w:t>( </w:t>
                    </w:r>
                    <w:r w:rsidRPr="007709BE">
                      <w:rPr>
                        <w:rFonts w:ascii="Times New Roman" w:eastAsia="Times New Roman" w:hAnsi="Times New Roman" w:cs="Times New Roman"/>
                        <w:color w:val="000000"/>
                        <w:kern w:val="0"/>
                        <w:sz w:val="17"/>
                        <w:szCs w:val="17"/>
                        <w:vertAlign w:val="superscript"/>
                        <w:lang w:eastAsia="de-DE"/>
                        <w14:ligatures w14:val="none"/>
                      </w:rPr>
                      <w:t>37 </w:t>
                    </w:r>
                    <w:r w:rsidRPr="007709BE">
                      <w:rPr>
                        <w:rFonts w:ascii="Times New Roman" w:eastAsia="Times New Roman" w:hAnsi="Times New Roman" w:cs="Times New Roman"/>
                        <w:color w:val="000000"/>
                        <w:kern w:val="0"/>
                        <w:u w:val="single"/>
                        <w:lang w:eastAsia="de-DE"/>
                        <w14:ligatures w14:val="none"/>
                      </w:rPr>
                      <w:t>)</w:t>
                    </w:r>
                  </w:hyperlink>
                </w:p>
              </w:tc>
            </w:tr>
          </w:tbl>
          <w:p w14:paraId="1E866CF7" w14:textId="77777777" w:rsidR="007709BE" w:rsidRPr="007709BE" w:rsidRDefault="007709BE" w:rsidP="007709BE">
            <w:pPr>
              <w:rPr>
                <w:rFonts w:ascii="Times New Roman" w:eastAsia="Times New Roman" w:hAnsi="Times New Roman" w:cs="Times New Roman"/>
                <w:vanish/>
                <w:kern w:val="0"/>
                <w:lang w:eastAsia="de-DE"/>
                <w14:ligatures w14:val="none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0"/>
              <w:gridCol w:w="8486"/>
            </w:tblGrid>
            <w:tr w:rsidR="007709BE" w:rsidRPr="007709BE" w14:paraId="6B6208C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60F0A49" w14:textId="77777777" w:rsidR="007709BE" w:rsidRPr="007709BE" w:rsidRDefault="007709BE" w:rsidP="007709BE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</w:pPr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(g)</w:t>
                  </w:r>
                </w:p>
              </w:tc>
              <w:tc>
                <w:tcPr>
                  <w:tcW w:w="0" w:type="auto"/>
                  <w:hideMark/>
                </w:tcPr>
                <w:p w14:paraId="2A0A6218" w14:textId="77777777" w:rsidR="007709BE" w:rsidRPr="007709BE" w:rsidRDefault="007709BE" w:rsidP="007709BE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</w:pPr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a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disclosure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on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whether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or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not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undertaking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is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excluded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from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EU Paris-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aligned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Benchmarks; </w:t>
                  </w:r>
                  <w:hyperlink r:id="rId7" w:anchor="ntr38-L_202302772EN.000301-E0031" w:history="1">
                    <w:r w:rsidRPr="007709BE">
                      <w:rPr>
                        <w:rFonts w:ascii="Times New Roman" w:eastAsia="Times New Roman" w:hAnsi="Times New Roman" w:cs="Times New Roman"/>
                        <w:color w:val="000000"/>
                        <w:kern w:val="0"/>
                        <w:u w:val="single"/>
                        <w:lang w:eastAsia="de-DE"/>
                        <w14:ligatures w14:val="none"/>
                      </w:rPr>
                      <w:t>( </w:t>
                    </w:r>
                    <w:r w:rsidRPr="007709BE">
                      <w:rPr>
                        <w:rFonts w:ascii="Times New Roman" w:eastAsia="Times New Roman" w:hAnsi="Times New Roman" w:cs="Times New Roman"/>
                        <w:color w:val="000000"/>
                        <w:kern w:val="0"/>
                        <w:sz w:val="17"/>
                        <w:szCs w:val="17"/>
                        <w:vertAlign w:val="superscript"/>
                        <w:lang w:eastAsia="de-DE"/>
                        <w14:ligatures w14:val="none"/>
                      </w:rPr>
                      <w:t>38 </w:t>
                    </w:r>
                    <w:r w:rsidRPr="007709BE">
                      <w:rPr>
                        <w:rFonts w:ascii="Times New Roman" w:eastAsia="Times New Roman" w:hAnsi="Times New Roman" w:cs="Times New Roman"/>
                        <w:color w:val="000000"/>
                        <w:kern w:val="0"/>
                        <w:u w:val="single"/>
                        <w:lang w:eastAsia="de-DE"/>
                        <w14:ligatures w14:val="none"/>
                      </w:rPr>
                      <w:t>)</w:t>
                    </w:r>
                  </w:hyperlink>
                </w:p>
              </w:tc>
            </w:tr>
          </w:tbl>
          <w:p w14:paraId="2AF8E217" w14:textId="77777777" w:rsidR="007709BE" w:rsidRPr="007709BE" w:rsidRDefault="007709BE" w:rsidP="007709BE">
            <w:pPr>
              <w:rPr>
                <w:rFonts w:ascii="Times New Roman" w:eastAsia="Times New Roman" w:hAnsi="Times New Roman" w:cs="Times New Roman"/>
                <w:vanish/>
                <w:kern w:val="0"/>
                <w:lang w:eastAsia="de-DE"/>
                <w14:ligatures w14:val="none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0"/>
              <w:gridCol w:w="8486"/>
            </w:tblGrid>
            <w:tr w:rsidR="007709BE" w:rsidRPr="007709BE" w14:paraId="346407F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9064D9F" w14:textId="77777777" w:rsidR="007709BE" w:rsidRPr="007709BE" w:rsidRDefault="007709BE" w:rsidP="007709BE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</w:pPr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(h)</w:t>
                  </w:r>
                </w:p>
              </w:tc>
              <w:tc>
                <w:tcPr>
                  <w:tcW w:w="0" w:type="auto"/>
                  <w:hideMark/>
                </w:tcPr>
                <w:p w14:paraId="71DC8841" w14:textId="77777777" w:rsidR="007709BE" w:rsidRPr="007709BE" w:rsidRDefault="007709BE" w:rsidP="007709BE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</w:pPr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an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explanation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of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how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 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transition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 xml:space="preserve"> plan 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is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embedded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in and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aligned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with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undertaking’s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overall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business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strategy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and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financial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planning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;</w:t>
                  </w:r>
                </w:p>
              </w:tc>
            </w:tr>
          </w:tbl>
          <w:p w14:paraId="7C938824" w14:textId="77777777" w:rsidR="007709BE" w:rsidRPr="007709BE" w:rsidRDefault="007709BE" w:rsidP="007709BE">
            <w:pPr>
              <w:rPr>
                <w:rFonts w:ascii="Times New Roman" w:eastAsia="Times New Roman" w:hAnsi="Times New Roman" w:cs="Times New Roman"/>
                <w:vanish/>
                <w:kern w:val="0"/>
                <w:lang w:eastAsia="de-DE"/>
                <w14:ligatures w14:val="none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7"/>
              <w:gridCol w:w="8539"/>
            </w:tblGrid>
            <w:tr w:rsidR="007709BE" w:rsidRPr="007709BE" w14:paraId="212BC0AC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2DACA5C" w14:textId="77777777" w:rsidR="007709BE" w:rsidRPr="007709BE" w:rsidRDefault="007709BE" w:rsidP="007709BE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</w:pPr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(i)</w:t>
                  </w:r>
                </w:p>
              </w:tc>
              <w:tc>
                <w:tcPr>
                  <w:tcW w:w="0" w:type="auto"/>
                  <w:hideMark/>
                </w:tcPr>
                <w:p w14:paraId="5E91F9DF" w14:textId="77777777" w:rsidR="007709BE" w:rsidRPr="007709BE" w:rsidRDefault="007709BE" w:rsidP="007709BE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</w:pP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whether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transition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plan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is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approved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by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 </w:t>
                  </w:r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 xml:space="preserve">administrative,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management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 xml:space="preserve"> and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supervisory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proofErr w:type="gramStart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bodies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 </w:t>
                  </w:r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;</w:t>
                  </w:r>
                  <w:proofErr w:type="gram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and</w:t>
                  </w:r>
                </w:p>
              </w:tc>
            </w:tr>
          </w:tbl>
          <w:p w14:paraId="268B461A" w14:textId="77777777" w:rsidR="007709BE" w:rsidRPr="007709BE" w:rsidRDefault="007709BE" w:rsidP="007709BE">
            <w:pPr>
              <w:rPr>
                <w:rFonts w:ascii="Times New Roman" w:eastAsia="Times New Roman" w:hAnsi="Times New Roman" w:cs="Times New Roman"/>
                <w:vanish/>
                <w:kern w:val="0"/>
                <w:lang w:eastAsia="de-DE"/>
                <w14:ligatures w14:val="none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9"/>
              <w:gridCol w:w="8517"/>
            </w:tblGrid>
            <w:tr w:rsidR="007709BE" w:rsidRPr="007709BE" w14:paraId="403A4E4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80D0F17" w14:textId="77777777" w:rsidR="007709BE" w:rsidRPr="007709BE" w:rsidRDefault="007709BE" w:rsidP="007709BE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</w:pPr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(j)</w:t>
                  </w:r>
                </w:p>
              </w:tc>
              <w:tc>
                <w:tcPr>
                  <w:tcW w:w="0" w:type="auto"/>
                  <w:hideMark/>
                </w:tcPr>
                <w:p w14:paraId="3808AF4F" w14:textId="77777777" w:rsidR="007709BE" w:rsidRPr="007709BE" w:rsidRDefault="007709BE" w:rsidP="007709BE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</w:pPr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an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explanation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of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undertaking’s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progress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in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implementing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transition</w:t>
                  </w:r>
                  <w:proofErr w:type="spellEnd"/>
                  <w:r w:rsidRPr="007709BE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plan.</w:t>
                  </w:r>
                </w:p>
              </w:tc>
            </w:tr>
          </w:tbl>
          <w:p w14:paraId="17D8E450" w14:textId="77777777" w:rsidR="007709BE" w:rsidRPr="007709BE" w:rsidRDefault="007709BE" w:rsidP="007709BE">
            <w:pP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</w:tr>
    </w:tbl>
    <w:p w14:paraId="16732A4B" w14:textId="77777777" w:rsidR="007709BE" w:rsidRPr="007709BE" w:rsidRDefault="007709BE" w:rsidP="007709BE">
      <w:pPr>
        <w:rPr>
          <w:rFonts w:ascii="Times New Roman" w:eastAsia="Times New Roman" w:hAnsi="Times New Roman" w:cs="Times New Roman"/>
          <w:vanish/>
          <w:kern w:val="0"/>
          <w:lang w:eastAsia="de-DE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00"/>
        <w:gridCol w:w="8766"/>
      </w:tblGrid>
      <w:tr w:rsidR="007709BE" w:rsidRPr="007709BE" w14:paraId="699D3601" w14:textId="77777777" w:rsidTr="007709BE">
        <w:trPr>
          <w:tblCellSpacing w:w="0" w:type="dxa"/>
        </w:trPr>
        <w:tc>
          <w:tcPr>
            <w:tcW w:w="0" w:type="auto"/>
            <w:hideMark/>
          </w:tcPr>
          <w:p w14:paraId="5B2A4634" w14:textId="77777777" w:rsidR="007709BE" w:rsidRPr="007709BE" w:rsidRDefault="007709BE" w:rsidP="007709BE">
            <w:pP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FD41340" w14:textId="77777777" w:rsidR="007709BE" w:rsidRPr="007709BE" w:rsidRDefault="007709BE" w:rsidP="007709BE">
            <w:pPr>
              <w:spacing w:before="120"/>
              <w:jc w:val="both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17.</w:t>
            </w:r>
          </w:p>
        </w:tc>
        <w:tc>
          <w:tcPr>
            <w:tcW w:w="0" w:type="auto"/>
            <w:hideMark/>
          </w:tcPr>
          <w:p w14:paraId="05F380B4" w14:textId="77777777" w:rsidR="007709BE" w:rsidRPr="007709BE" w:rsidRDefault="007709BE" w:rsidP="007709BE">
            <w:pP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In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case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undertaking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does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not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have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a 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de-DE"/>
                <w14:ligatures w14:val="none"/>
              </w:rPr>
              <w:t>transition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de-DE"/>
                <w14:ligatures w14:val="none"/>
              </w:rPr>
              <w:t xml:space="preserve"> plan </w:t>
            </w:r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in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place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,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it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shall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indicate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whether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and,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if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so,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when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it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will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adopt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a </w:t>
            </w:r>
            <w:proofErr w:type="spellStart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transition</w:t>
            </w:r>
            <w:proofErr w:type="spellEnd"/>
            <w:r w:rsidRPr="007709BE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plan.</w:t>
            </w:r>
          </w:p>
        </w:tc>
      </w:tr>
    </w:tbl>
    <w:p w14:paraId="1CF1F53D" w14:textId="77777777" w:rsidR="0045094C" w:rsidRPr="0045094C" w:rsidRDefault="0045094C" w:rsidP="0045094C">
      <w:pPr>
        <w:shd w:val="clear" w:color="auto" w:fill="FFFFFF"/>
        <w:spacing w:before="240" w:after="1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</w:pPr>
      <w:r w:rsidRPr="0045094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de-DE"/>
          <w14:ligatures w14:val="none"/>
        </w:rPr>
        <w:lastRenderedPageBreak/>
        <w:t xml:space="preserve">Disclosure </w:t>
      </w:r>
      <w:proofErr w:type="spellStart"/>
      <w:r w:rsidRPr="0045094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de-DE"/>
          <w14:ligatures w14:val="none"/>
        </w:rPr>
        <w:t>Requirement</w:t>
      </w:r>
      <w:proofErr w:type="spellEnd"/>
      <w:r w:rsidRPr="0045094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de-DE"/>
          <w14:ligatures w14:val="none"/>
        </w:rPr>
        <w:t xml:space="preserve"> E1-1 – Transition plan </w:t>
      </w:r>
      <w:proofErr w:type="spellStart"/>
      <w:r w:rsidRPr="0045094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de-DE"/>
          <w14:ligatures w14:val="none"/>
        </w:rPr>
        <w:t>for</w:t>
      </w:r>
      <w:proofErr w:type="spellEnd"/>
      <w:r w:rsidRPr="0045094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5094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de-DE"/>
          <w14:ligatures w14:val="none"/>
        </w:rPr>
        <w:t>climate</w:t>
      </w:r>
      <w:proofErr w:type="spellEnd"/>
      <w:r w:rsidRPr="0045094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5094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de-DE"/>
          <w14:ligatures w14:val="none"/>
        </w:rPr>
        <w:t>change</w:t>
      </w:r>
      <w:proofErr w:type="spellEnd"/>
      <w:r w:rsidRPr="0045094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5094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de-DE"/>
          <w14:ligatures w14:val="none"/>
        </w:rPr>
        <w:t>mitigation</w:t>
      </w:r>
      <w:proofErr w:type="spell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91"/>
        <w:gridCol w:w="8675"/>
      </w:tblGrid>
      <w:tr w:rsidR="0045094C" w:rsidRPr="0045094C" w14:paraId="6237F4F5" w14:textId="77777777" w:rsidTr="0045094C">
        <w:trPr>
          <w:tblCellSpacing w:w="0" w:type="dxa"/>
        </w:trPr>
        <w:tc>
          <w:tcPr>
            <w:tcW w:w="0" w:type="auto"/>
            <w:hideMark/>
          </w:tcPr>
          <w:p w14:paraId="0959F87C" w14:textId="77777777" w:rsidR="0045094C" w:rsidRPr="0045094C" w:rsidRDefault="0045094C" w:rsidP="0045094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B9E5FEC" w14:textId="77777777" w:rsidR="0045094C" w:rsidRPr="0045094C" w:rsidRDefault="0045094C" w:rsidP="0045094C">
            <w:pPr>
              <w:spacing w:before="120"/>
              <w:jc w:val="both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AR 1.</w:t>
            </w:r>
          </w:p>
        </w:tc>
        <w:tc>
          <w:tcPr>
            <w:tcW w:w="0" w:type="auto"/>
            <w:hideMark/>
          </w:tcPr>
          <w:p w14:paraId="65D2C762" w14:textId="77777777" w:rsidR="0045094C" w:rsidRPr="0045094C" w:rsidRDefault="0045094C" w:rsidP="0045094C">
            <w:pP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A 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de-DE"/>
                <w14:ligatures w14:val="none"/>
              </w:rPr>
              <w:t>transition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de-DE"/>
                <w14:ligatures w14:val="none"/>
              </w:rPr>
              <w:t xml:space="preserve"> plan 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relates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to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undertaking’s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efforts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in 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de-DE"/>
                <w14:ligatures w14:val="none"/>
              </w:rPr>
              <w:t>climate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de-DE"/>
                <w14:ligatures w14:val="none"/>
              </w:rPr>
              <w:t>change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proofErr w:type="gramStart"/>
            <w:r w:rsidRPr="0045094C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de-DE"/>
                <w14:ligatures w14:val="none"/>
              </w:rPr>
              <w:t>mitigation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de-DE"/>
                <w14:ligatures w14:val="none"/>
              </w:rPr>
              <w:t> </w:t>
            </w:r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.</w:t>
            </w:r>
            <w:proofErr w:type="gram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When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disclosing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its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transition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plan,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undertaking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is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expected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to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provide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a high-level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explanation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of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how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it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will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adjust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its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strategy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and 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de-DE"/>
                <w14:ligatures w14:val="none"/>
              </w:rPr>
              <w:t>business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de-DE"/>
                <w14:ligatures w14:val="none"/>
              </w:rPr>
              <w:t>model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de-DE"/>
                <w14:ligatures w14:val="none"/>
              </w:rPr>
              <w:t> 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to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ensure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compatibility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with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transition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to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a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sustainable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economy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and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with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limiting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of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global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warming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to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1.5°C in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line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with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Paris Agreement (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or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an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updated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inter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national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agreement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on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climate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change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) and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objective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of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achieving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climate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neutrality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by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2050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with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no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or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limited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overshoot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as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established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in Regulation (EU) 2021/1119 (European Climate Law), and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where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applicable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,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how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it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will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adjust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its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exposure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to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coal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, and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oil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and gas-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related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activities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.</w:t>
            </w:r>
          </w:p>
        </w:tc>
      </w:tr>
    </w:tbl>
    <w:p w14:paraId="17BD4C99" w14:textId="77777777" w:rsidR="0045094C" w:rsidRPr="0045094C" w:rsidRDefault="0045094C" w:rsidP="0045094C">
      <w:pPr>
        <w:rPr>
          <w:rFonts w:ascii="Times New Roman" w:eastAsia="Times New Roman" w:hAnsi="Times New Roman" w:cs="Times New Roman"/>
          <w:vanish/>
          <w:kern w:val="0"/>
          <w:lang w:eastAsia="de-DE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88"/>
        <w:gridCol w:w="8678"/>
      </w:tblGrid>
      <w:tr w:rsidR="0045094C" w:rsidRPr="0045094C" w14:paraId="1E3A0B04" w14:textId="77777777" w:rsidTr="0045094C">
        <w:trPr>
          <w:tblCellSpacing w:w="0" w:type="dxa"/>
        </w:trPr>
        <w:tc>
          <w:tcPr>
            <w:tcW w:w="0" w:type="auto"/>
            <w:hideMark/>
          </w:tcPr>
          <w:p w14:paraId="54304B25" w14:textId="77777777" w:rsidR="0045094C" w:rsidRPr="0045094C" w:rsidRDefault="0045094C" w:rsidP="0045094C">
            <w:pP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BBFA1CE" w14:textId="77777777" w:rsidR="0045094C" w:rsidRPr="0045094C" w:rsidRDefault="0045094C" w:rsidP="0045094C">
            <w:pPr>
              <w:spacing w:before="120"/>
              <w:jc w:val="both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AR 2.</w:t>
            </w:r>
          </w:p>
        </w:tc>
        <w:tc>
          <w:tcPr>
            <w:tcW w:w="0" w:type="auto"/>
            <w:hideMark/>
          </w:tcPr>
          <w:p w14:paraId="61AF5418" w14:textId="77777777" w:rsidR="0045094C" w:rsidRPr="0045094C" w:rsidRDefault="0045094C" w:rsidP="0045094C">
            <w:pP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Sectoral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pathways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have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not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yet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been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defined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by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public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 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de-DE"/>
                <w14:ligatures w14:val="none"/>
              </w:rPr>
              <w:t>policies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de-DE"/>
                <w14:ligatures w14:val="none"/>
              </w:rPr>
              <w:t> 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for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all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sectors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.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Hence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,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disclosure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under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paragraph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16 (a) on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compatibility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of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 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de-DE"/>
                <w14:ligatures w14:val="none"/>
              </w:rPr>
              <w:t>transition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de-DE"/>
                <w14:ligatures w14:val="none"/>
              </w:rPr>
              <w:t xml:space="preserve"> plan 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with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objective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of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limiting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global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warming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to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1.5°C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should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be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understood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as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disclosure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of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undertaking’s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GHG 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de-DE"/>
                <w14:ligatures w14:val="none"/>
              </w:rPr>
              <w:t>emissions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de-DE"/>
                <w14:ligatures w14:val="none"/>
              </w:rPr>
              <w:t>reduction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proofErr w:type="gramStart"/>
            <w:r w:rsidRPr="0045094C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de-DE"/>
                <w14:ligatures w14:val="none"/>
              </w:rPr>
              <w:t>target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de-DE"/>
                <w14:ligatures w14:val="none"/>
              </w:rPr>
              <w:t> </w:t>
            </w:r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.</w:t>
            </w:r>
            <w:proofErr w:type="gram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The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disclosure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under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paragraph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16 (a)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shall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be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benchmarked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in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relation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to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a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pathway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to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1.5°C. This benchmark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should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be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based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on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either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a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sectoral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decarbonisation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pathway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if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available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for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undertaking’s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sector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or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an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economy-wide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scenario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bearing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in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mind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its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limitations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(i.e.,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it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is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a simple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translation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of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 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de-DE"/>
                <w14:ligatures w14:val="none"/>
              </w:rPr>
              <w:t>emission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de-DE"/>
                <w14:ligatures w14:val="none"/>
              </w:rPr>
              <w:t>reduction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lang w:eastAsia="de-DE"/>
                <w14:ligatures w14:val="none"/>
              </w:rPr>
              <w:t> 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objectives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from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state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to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undertaking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level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). This AR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should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be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read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also in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conjunction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with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AR 26 and AR 27 and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sectoral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decarbonisation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pathways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they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refer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to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.</w:t>
            </w:r>
          </w:p>
        </w:tc>
      </w:tr>
    </w:tbl>
    <w:p w14:paraId="33C55A51" w14:textId="77777777" w:rsidR="0045094C" w:rsidRPr="0045094C" w:rsidRDefault="0045094C" w:rsidP="0045094C">
      <w:pPr>
        <w:rPr>
          <w:rFonts w:ascii="Times New Roman" w:eastAsia="Times New Roman" w:hAnsi="Times New Roman" w:cs="Times New Roman"/>
          <w:vanish/>
          <w:kern w:val="0"/>
          <w:lang w:eastAsia="de-DE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80"/>
        <w:gridCol w:w="8686"/>
      </w:tblGrid>
      <w:tr w:rsidR="0045094C" w:rsidRPr="0045094C" w14:paraId="043753B4" w14:textId="77777777" w:rsidTr="0045094C">
        <w:trPr>
          <w:tblCellSpacing w:w="0" w:type="dxa"/>
        </w:trPr>
        <w:tc>
          <w:tcPr>
            <w:tcW w:w="0" w:type="auto"/>
            <w:hideMark/>
          </w:tcPr>
          <w:p w14:paraId="3526A24E" w14:textId="77777777" w:rsidR="0045094C" w:rsidRPr="0045094C" w:rsidRDefault="0045094C" w:rsidP="0045094C">
            <w:pP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62D4BC0" w14:textId="77777777" w:rsidR="0045094C" w:rsidRPr="0045094C" w:rsidRDefault="0045094C" w:rsidP="0045094C">
            <w:pPr>
              <w:spacing w:before="120"/>
              <w:jc w:val="both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AR 3.</w:t>
            </w:r>
          </w:p>
        </w:tc>
        <w:tc>
          <w:tcPr>
            <w:tcW w:w="0" w:type="auto"/>
            <w:hideMark/>
          </w:tcPr>
          <w:p w14:paraId="32BFCE2E" w14:textId="77777777" w:rsidR="0045094C" w:rsidRPr="0045094C" w:rsidRDefault="0045094C" w:rsidP="0045094C">
            <w:pP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When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disclosing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information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required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under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paragraph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16(d)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undertaking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may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consider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: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7"/>
              <w:gridCol w:w="8419"/>
            </w:tblGrid>
            <w:tr w:rsidR="0045094C" w:rsidRPr="0045094C" w14:paraId="71FEF024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35594DB" w14:textId="77777777" w:rsidR="0045094C" w:rsidRPr="0045094C" w:rsidRDefault="0045094C" w:rsidP="0045094C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</w:pPr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(a)</w:t>
                  </w:r>
                </w:p>
              </w:tc>
              <w:tc>
                <w:tcPr>
                  <w:tcW w:w="0" w:type="auto"/>
                  <w:hideMark/>
                </w:tcPr>
                <w:p w14:paraId="053C3662" w14:textId="77777777" w:rsidR="0045094C" w:rsidRPr="0045094C" w:rsidRDefault="0045094C" w:rsidP="0045094C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</w:pP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cumulative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 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locked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-in GHG 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emissions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 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associated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with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key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assets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from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reporting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year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until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2030 and 2050 in tCO2eq. This will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be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assessed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as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sum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of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estimated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Scopes 1 and 2 GHG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emissions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over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operating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lifetime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of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active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and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firmly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planned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key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assets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. Key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assets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are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those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owned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or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controlled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by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undertaking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, and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they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consist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of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existing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or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planned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assets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(such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as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stationary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or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mobile 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installations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, 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facilities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, and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equipment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)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that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are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sources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of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either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significant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direct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or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energy-indirect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GHG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emissions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.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Firmly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planned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key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assets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are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those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that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undertaking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will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most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likely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deploy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within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next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5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years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.</w:t>
                  </w:r>
                </w:p>
              </w:tc>
            </w:tr>
          </w:tbl>
          <w:p w14:paraId="5C4F8B2A" w14:textId="77777777" w:rsidR="0045094C" w:rsidRPr="0045094C" w:rsidRDefault="0045094C" w:rsidP="0045094C">
            <w:pPr>
              <w:rPr>
                <w:rFonts w:ascii="Times New Roman" w:eastAsia="Times New Roman" w:hAnsi="Times New Roman" w:cs="Times New Roman"/>
                <w:vanish/>
                <w:kern w:val="0"/>
                <w:lang w:eastAsia="de-DE"/>
                <w14:ligatures w14:val="none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0"/>
              <w:gridCol w:w="8406"/>
            </w:tblGrid>
            <w:tr w:rsidR="0045094C" w:rsidRPr="0045094C" w14:paraId="7D751AC8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29AAE49" w14:textId="77777777" w:rsidR="0045094C" w:rsidRPr="0045094C" w:rsidRDefault="0045094C" w:rsidP="0045094C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</w:pPr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(b)</w:t>
                  </w:r>
                </w:p>
              </w:tc>
              <w:tc>
                <w:tcPr>
                  <w:tcW w:w="0" w:type="auto"/>
                  <w:hideMark/>
                </w:tcPr>
                <w:p w14:paraId="331D132B" w14:textId="77777777" w:rsidR="0045094C" w:rsidRPr="0045094C" w:rsidRDefault="0045094C" w:rsidP="0045094C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</w:pP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cumulative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locked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-in GHG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emissions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associated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with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direct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use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-phase GHG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emissions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of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sold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products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in tCO2eq,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assessed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as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sales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volume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of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products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in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reporting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year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multiplied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by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sum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of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estimated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direct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use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-phase GHG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emissions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over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their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expected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lifetime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. This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requirement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only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applies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if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undertaking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has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identified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 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Scope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 xml:space="preserve"> 3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category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kern w:val="0"/>
                      <w:lang w:eastAsia="de-DE"/>
                      <w14:ligatures w14:val="none"/>
                    </w:rPr>
                    <w:t> </w:t>
                  </w:r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“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use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of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sold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products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”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as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significant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under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Disclosure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Requirement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E1-6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paragraph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51; and</w:t>
                  </w:r>
                </w:p>
              </w:tc>
            </w:tr>
          </w:tbl>
          <w:p w14:paraId="10915369" w14:textId="77777777" w:rsidR="0045094C" w:rsidRPr="0045094C" w:rsidRDefault="0045094C" w:rsidP="0045094C">
            <w:pPr>
              <w:rPr>
                <w:rFonts w:ascii="Times New Roman" w:eastAsia="Times New Roman" w:hAnsi="Times New Roman" w:cs="Times New Roman"/>
                <w:vanish/>
                <w:kern w:val="0"/>
                <w:lang w:eastAsia="de-DE"/>
                <w14:ligatures w14:val="none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7"/>
              <w:gridCol w:w="8419"/>
            </w:tblGrid>
            <w:tr w:rsidR="0045094C" w:rsidRPr="0045094C" w14:paraId="7C12F636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2399439" w14:textId="77777777" w:rsidR="0045094C" w:rsidRPr="0045094C" w:rsidRDefault="0045094C" w:rsidP="0045094C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</w:pPr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(c)</w:t>
                  </w:r>
                </w:p>
              </w:tc>
              <w:tc>
                <w:tcPr>
                  <w:tcW w:w="0" w:type="auto"/>
                  <w:hideMark/>
                </w:tcPr>
                <w:p w14:paraId="65F82792" w14:textId="77777777" w:rsidR="0045094C" w:rsidRPr="0045094C" w:rsidRDefault="0045094C" w:rsidP="0045094C">
                  <w:pPr>
                    <w:spacing w:before="120"/>
                    <w:jc w:val="both"/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</w:pPr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an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explanation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of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the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plans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to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manage, i.e.,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to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transform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,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decommission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or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phase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out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its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GHG-intensive and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energy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-intensive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assets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and </w:t>
                  </w:r>
                  <w:proofErr w:type="spellStart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products</w:t>
                  </w:r>
                  <w:proofErr w:type="spellEnd"/>
                  <w:r w:rsidRPr="0045094C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.</w:t>
                  </w:r>
                </w:p>
              </w:tc>
            </w:tr>
          </w:tbl>
          <w:p w14:paraId="7E7C5E37" w14:textId="77777777" w:rsidR="0045094C" w:rsidRPr="0045094C" w:rsidRDefault="0045094C" w:rsidP="0045094C">
            <w:pP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</w:tr>
    </w:tbl>
    <w:p w14:paraId="5992CD45" w14:textId="77777777" w:rsidR="0045094C" w:rsidRPr="0045094C" w:rsidRDefault="0045094C" w:rsidP="0045094C">
      <w:pPr>
        <w:rPr>
          <w:rFonts w:ascii="Times New Roman" w:eastAsia="Times New Roman" w:hAnsi="Times New Roman" w:cs="Times New Roman"/>
          <w:vanish/>
          <w:kern w:val="0"/>
          <w:lang w:eastAsia="de-DE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91"/>
        <w:gridCol w:w="8675"/>
      </w:tblGrid>
      <w:tr w:rsidR="0045094C" w:rsidRPr="0045094C" w14:paraId="47EA7057" w14:textId="77777777" w:rsidTr="0045094C">
        <w:trPr>
          <w:tblCellSpacing w:w="0" w:type="dxa"/>
        </w:trPr>
        <w:tc>
          <w:tcPr>
            <w:tcW w:w="0" w:type="auto"/>
            <w:hideMark/>
          </w:tcPr>
          <w:p w14:paraId="6FD9C8B3" w14:textId="77777777" w:rsidR="0045094C" w:rsidRPr="0045094C" w:rsidRDefault="0045094C" w:rsidP="0045094C">
            <w:pP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0F565CE" w14:textId="77777777" w:rsidR="0045094C" w:rsidRPr="0045094C" w:rsidRDefault="0045094C" w:rsidP="0045094C">
            <w:pPr>
              <w:spacing w:before="120"/>
              <w:jc w:val="both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AR 4.</w:t>
            </w:r>
          </w:p>
        </w:tc>
        <w:tc>
          <w:tcPr>
            <w:tcW w:w="0" w:type="auto"/>
            <w:hideMark/>
          </w:tcPr>
          <w:p w14:paraId="314F3D2B" w14:textId="77777777" w:rsidR="0045094C" w:rsidRPr="0045094C" w:rsidRDefault="0045094C" w:rsidP="0045094C">
            <w:pP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When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disclosing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information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required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under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paragraph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16 (e),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undertaking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shall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explain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how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alignment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of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its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economic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activities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with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provisions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of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Commission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Delegated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Regulation (EU) 2021/2139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is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expected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to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evolve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over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time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to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support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its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transition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to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a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sustainable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economy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. In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doing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so,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undertaking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shall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take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account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of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key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performance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indicators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required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to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be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disclosed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under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Article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 8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of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Regulation (EU) 2020/852 (in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particular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taxonomy-aligned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revenue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and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CapEx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and,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if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applicable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,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CapEx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plans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).</w:t>
            </w:r>
          </w:p>
        </w:tc>
      </w:tr>
    </w:tbl>
    <w:p w14:paraId="07E48BA8" w14:textId="77777777" w:rsidR="0045094C" w:rsidRPr="0045094C" w:rsidRDefault="0045094C" w:rsidP="0045094C">
      <w:pPr>
        <w:rPr>
          <w:rFonts w:ascii="Times New Roman" w:eastAsia="Times New Roman" w:hAnsi="Times New Roman" w:cs="Times New Roman"/>
          <w:vanish/>
          <w:kern w:val="0"/>
          <w:lang w:eastAsia="de-DE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390"/>
        <w:gridCol w:w="8676"/>
      </w:tblGrid>
      <w:tr w:rsidR="0045094C" w:rsidRPr="0045094C" w14:paraId="2F2C0E65" w14:textId="77777777" w:rsidTr="0045094C">
        <w:trPr>
          <w:tblCellSpacing w:w="0" w:type="dxa"/>
        </w:trPr>
        <w:tc>
          <w:tcPr>
            <w:tcW w:w="0" w:type="auto"/>
            <w:hideMark/>
          </w:tcPr>
          <w:p w14:paraId="65CE5B89" w14:textId="77777777" w:rsidR="0045094C" w:rsidRPr="0045094C" w:rsidRDefault="0045094C" w:rsidP="0045094C">
            <w:pP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89A76C1" w14:textId="77777777" w:rsidR="0045094C" w:rsidRPr="0045094C" w:rsidRDefault="0045094C" w:rsidP="0045094C">
            <w:pPr>
              <w:spacing w:before="120"/>
              <w:jc w:val="both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AR 5.</w:t>
            </w:r>
          </w:p>
        </w:tc>
        <w:tc>
          <w:tcPr>
            <w:tcW w:w="0" w:type="auto"/>
            <w:hideMark/>
          </w:tcPr>
          <w:p w14:paraId="18CA97BE" w14:textId="77777777" w:rsidR="0045094C" w:rsidRPr="0045094C" w:rsidRDefault="0045094C" w:rsidP="0045094C">
            <w:pP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When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disclosing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information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required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under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paragraph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16 (g),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undertaking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shall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state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whether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or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not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it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is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excluded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from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EU Paris-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aligned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Benchmarks in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accordance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with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the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exclusion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criteria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stated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in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Articles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 12(1) (d)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to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(g) </w:t>
            </w:r>
            <w:hyperlink r:id="rId8" w:anchor="ntr53-L_202302772EN.008601-E0001" w:history="1">
              <w:r w:rsidRPr="0045094C">
                <w:rPr>
                  <w:rFonts w:ascii="Times New Roman" w:eastAsia="Times New Roman" w:hAnsi="Times New Roman" w:cs="Times New Roman"/>
                  <w:color w:val="000000"/>
                  <w:kern w:val="0"/>
                  <w:u w:val="single"/>
                  <w:lang w:eastAsia="de-DE"/>
                  <w14:ligatures w14:val="none"/>
                </w:rPr>
                <w:t>( </w:t>
              </w:r>
              <w:r w:rsidRPr="0045094C">
                <w:rPr>
                  <w:rFonts w:ascii="Times New Roman" w:eastAsia="Times New Roman" w:hAnsi="Times New Roman" w:cs="Times New Roman"/>
                  <w:color w:val="000000"/>
                  <w:kern w:val="0"/>
                  <w:sz w:val="17"/>
                  <w:szCs w:val="17"/>
                  <w:vertAlign w:val="superscript"/>
                  <w:lang w:eastAsia="de-DE"/>
                  <w14:ligatures w14:val="none"/>
                </w:rPr>
                <w:t>53 </w:t>
              </w:r>
              <w:r w:rsidRPr="0045094C">
                <w:rPr>
                  <w:rFonts w:ascii="Times New Roman" w:eastAsia="Times New Roman" w:hAnsi="Times New Roman" w:cs="Times New Roman"/>
                  <w:color w:val="000000"/>
                  <w:kern w:val="0"/>
                  <w:u w:val="single"/>
                  <w:lang w:eastAsia="de-DE"/>
                  <w14:ligatures w14:val="none"/>
                </w:rPr>
                <w:t>) </w:t>
              </w:r>
            </w:hyperlink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and 12(2)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of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Commission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Delegated</w:t>
            </w:r>
            <w:proofErr w:type="spellEnd"/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Regulation (EU) 2020/1818 (Climate Benchmark Standards Regulation) </w:t>
            </w:r>
            <w:hyperlink r:id="rId9" w:anchor="ntr54-L_202302772EN.008601-E0002" w:history="1">
              <w:r w:rsidRPr="0045094C">
                <w:rPr>
                  <w:rFonts w:ascii="Times New Roman" w:eastAsia="Times New Roman" w:hAnsi="Times New Roman" w:cs="Times New Roman"/>
                  <w:color w:val="000000"/>
                  <w:kern w:val="0"/>
                  <w:u w:val="single"/>
                  <w:lang w:eastAsia="de-DE"/>
                  <w14:ligatures w14:val="none"/>
                </w:rPr>
                <w:t>( </w:t>
              </w:r>
              <w:r w:rsidRPr="0045094C">
                <w:rPr>
                  <w:rFonts w:ascii="Times New Roman" w:eastAsia="Times New Roman" w:hAnsi="Times New Roman" w:cs="Times New Roman"/>
                  <w:color w:val="000000"/>
                  <w:kern w:val="0"/>
                  <w:sz w:val="17"/>
                  <w:szCs w:val="17"/>
                  <w:vertAlign w:val="superscript"/>
                  <w:lang w:eastAsia="de-DE"/>
                  <w14:ligatures w14:val="none"/>
                </w:rPr>
                <w:t>54 </w:t>
              </w:r>
              <w:r w:rsidRPr="0045094C">
                <w:rPr>
                  <w:rFonts w:ascii="Times New Roman" w:eastAsia="Times New Roman" w:hAnsi="Times New Roman" w:cs="Times New Roman"/>
                  <w:color w:val="000000"/>
                  <w:kern w:val="0"/>
                  <w:u w:val="single"/>
                  <w:lang w:eastAsia="de-DE"/>
                  <w14:ligatures w14:val="none"/>
                </w:rPr>
                <w:t>) </w:t>
              </w:r>
            </w:hyperlink>
            <w:r w:rsidRPr="0045094C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.</w:t>
            </w:r>
          </w:p>
        </w:tc>
      </w:tr>
    </w:tbl>
    <w:p w14:paraId="521B7B1C" w14:textId="77777777" w:rsidR="001751EE" w:rsidRDefault="001751EE"/>
    <w:sectPr w:rsidR="001751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BE"/>
    <w:rsid w:val="000879A5"/>
    <w:rsid w:val="001751EE"/>
    <w:rsid w:val="0045094C"/>
    <w:rsid w:val="0077097D"/>
    <w:rsid w:val="007709BE"/>
    <w:rsid w:val="00DB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79E037"/>
  <w15:chartTrackingRefBased/>
  <w15:docId w15:val="{E3BC347B-A2BE-D846-9252-335C0079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0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0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0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0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0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09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09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09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09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70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0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70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709B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709B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709B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709B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709B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709B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709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70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09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0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709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709B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709B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709B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0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09B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709BE"/>
    <w:rPr>
      <w:b/>
      <w:bCs/>
      <w:smallCaps/>
      <w:color w:val="0F4761" w:themeColor="accent1" w:themeShade="BF"/>
      <w:spacing w:val="5"/>
    </w:rPr>
  </w:style>
  <w:style w:type="paragraph" w:customStyle="1" w:styleId="oj-ti-grseq-1">
    <w:name w:val="oj-ti-grseq-1"/>
    <w:basedOn w:val="Standard"/>
    <w:rsid w:val="007709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oj-bold">
    <w:name w:val="oj-bold"/>
    <w:basedOn w:val="Absatz-Standardschriftart"/>
    <w:rsid w:val="007709BE"/>
  </w:style>
  <w:style w:type="character" w:customStyle="1" w:styleId="oj-italic">
    <w:name w:val="oj-italic"/>
    <w:basedOn w:val="Absatz-Standardschriftart"/>
    <w:rsid w:val="007709BE"/>
  </w:style>
  <w:style w:type="paragraph" w:customStyle="1" w:styleId="oj-normal">
    <w:name w:val="oj-normal"/>
    <w:basedOn w:val="Standard"/>
    <w:rsid w:val="007709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Hyperlink">
    <w:name w:val="Hyperlink"/>
    <w:basedOn w:val="Absatz-Standardschriftart"/>
    <w:uiPriority w:val="99"/>
    <w:semiHidden/>
    <w:unhideWhenUsed/>
    <w:rsid w:val="007709BE"/>
    <w:rPr>
      <w:color w:val="0000FF"/>
      <w:u w:val="single"/>
    </w:rPr>
  </w:style>
  <w:style w:type="character" w:customStyle="1" w:styleId="oj-super">
    <w:name w:val="oj-super"/>
    <w:basedOn w:val="Absatz-Standardschriftart"/>
    <w:rsid w:val="00770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9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brl.efrag.org/e-esrs/esrs-set1-2023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xbrl.efrag.org/e-esrs/esrs-set1-202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brl.efrag.org/e-esrs/esrs-set1-2023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xbrl.efrag.org/e-esrs/esrs-set1-2023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xbrl.efrag.org/e-esrs/esrs-set1-2023.html" TargetMode="External"/><Relationship Id="rId9" Type="http://schemas.openxmlformats.org/officeDocument/2006/relationships/hyperlink" Target="https://xbrl.efrag.org/e-esrs/esrs-set1-2023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1088</Words>
  <Characters>6859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Hell</dc:creator>
  <cp:keywords/>
  <dc:description/>
  <cp:lastModifiedBy>Simon Hell</cp:lastModifiedBy>
  <cp:revision>1</cp:revision>
  <dcterms:created xsi:type="dcterms:W3CDTF">2024-12-12T07:02:00Z</dcterms:created>
  <dcterms:modified xsi:type="dcterms:W3CDTF">2024-12-12T08:33:00Z</dcterms:modified>
</cp:coreProperties>
</file>