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95959"/>
          <w:sz w:val="19"/>
          <w:szCs w:val="19"/>
        </w:rPr>
        <w:t xml:space="preserve">Taxonomía de Fink: rediseñar su asignatura para que los resultados de aprendizaje ocurran</w:t>
      </w:r>
    </w:p>
    <w:p>
      <w:pPr>
        <w:pStyle w:val="Title"/>
        <w:spacing w:after="120"/>
      </w:pPr>
      <w:r>
        <w:rPr>
          <w:color w:val="1F4E79"/>
        </w:rPr>
        <w:t xml:space="preserve">Quiénes llegan</w:t>
      </w:r>
    </w:p>
    <w:p>
      <w:pPr>
        <w:spacing w:after="260"/>
      </w:pPr>
      <w:r>
        <w:rPr>
          <w:b/>
          <w:bCs/>
          <w:sz w:val="25"/>
          <w:szCs w:val="25"/>
        </w:rPr>
        <w:t xml:space="preserve">Unidad 2.2 · lo que traen puesto antes de que usted hable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 segundo eje, y el que más cambia el diseño. Tres cosas distintas llegan con sus estudiantes, y cada una pide una respuesta diferente.</w:t>
      </w:r>
    </w:p>
    <w:p>
      <w:pPr>
        <w:pStyle w:val="Heading3"/>
        <w:spacing w:after="80" w:before="180"/>
      </w:pPr>
      <w:r>
        <w:rPr>
          <w:b/>
          <w:bCs/>
          <w:color w:val="595959"/>
        </w:rPr>
        <w:t xml:space="preserve">Cómo usar esta hoja</w:t>
      </w:r>
    </w:p>
    <w:p>
      <w:pPr>
        <w:spacing w:after="90"/>
        <w:ind w:left="360" w:hanging="260"/>
      </w:pPr>
      <w:r>
        <w:rPr>
          <w:b/>
          <w:bCs/>
        </w:rPr>
        <w:t xml:space="preserve">1. </w:t>
      </w:r>
      <w:r>
        <w:t xml:space="preserve">Escriba sobre el documento y guárdelo, o imprímalo y escriba a mano.</w:t>
      </w:r>
    </w:p>
    <w:p>
      <w:pPr>
        <w:spacing w:after="90"/>
        <w:ind w:left="360" w:hanging="260"/>
      </w:pPr>
      <w:r>
        <w:rPr>
          <w:b/>
          <w:bCs/>
        </w:rPr>
        <w:t xml:space="preserve">2. </w:t>
      </w:r>
      <w:r>
        <w:t xml:space="preserve">Responda con números y con hechos, no con adjetivos. «Grupo grande» no sirve; «43 estudiantes» sí.</w:t>
      </w:r>
    </w:p>
    <w:p>
      <w:pPr>
        <w:spacing w:after="90"/>
        <w:ind w:left="360" w:hanging="260"/>
      </w:pPr>
      <w:r>
        <w:rPr>
          <w:b/>
          <w:bCs/>
        </w:rPr>
        <w:t xml:space="preserve">3. </w:t>
      </w:r>
      <w:r>
        <w:t xml:space="preserve">Si no sabe un dato, escríbalo como sospecha y márquelo. Es información válida y honesta.</w:t>
      </w:r>
    </w:p>
    <w:p>
      <w:pPr>
        <w:pStyle w:val="Heading2"/>
        <w:spacing w:after="100" w:before="260"/>
      </w:pPr>
      <w:r>
        <w:rPr>
          <w:color w:val="1F4E79"/>
        </w:rPr>
        <w:t xml:space="preserve">1. Lo que saben hacer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El nivel real con el que llegan, no el que dice el prerrequisito.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¿Leen un texto largo sin perderse?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¿Saben buscar una fuente y juzgarla?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¿Escriben un párrafo con estructura?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Prerrequisitos de la materia: ¿los traen frescos?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Otra destreza que su materia da por supuesta: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2. Lo que creen de su materia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Esto pesa más de lo que parece: decide cuánto esfuerzo van a invertir antes de que usted empiece.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spacing w:after="120"/>
      </w:pPr>
      <w:r>
        <w:rPr>
          <w:b w:val="false"/>
          <w:bCs w:val="false"/>
          <w:i/>
          <w:iCs/>
        </w:rPr>
        <w:t xml:space="preserve">Frases que oye el primer día, si las recuerda: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3. Para qué la quieren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2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¿Qué esperan hacer profesionalmente?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lugar tiene su materia en ese plan?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¿Eligieron esta carrera, o llegaron por descarte?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2"/>
        <w:spacing w:after="100" w:before="260"/>
      </w:pPr>
      <w:r>
        <w:rPr>
          <w:color w:val="1F4E79"/>
        </w:rPr>
        <w:t xml:space="preserve">4. Lo que usted da por supuesto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¿Qué cosa da usted por supuesta al empezar, que probablemente media clase no trae?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  <w:tr>
        <w:tc>
          <w:tcPr>
            <w:tcW w:type="dxa" w:w="9000"/>
            <w:tcMar>
              <w:top w:type="dxa" w:w="140"/>
              <w:left w:type="dxa" w:w="120"/>
              <w:bottom w:type="dxa" w:w="140"/>
              <w:right w:type="dxa" w:w="120"/>
            </w:tcMar>
          </w:tcPr>
          <w:p/>
        </w:tc>
      </w:tr>
    </w:tbl>
    <w:p>
      <w:pPr>
        <w:pageBreakBefore/>
      </w:pPr>
    </w:p>
    <w:p>
      <w:pPr>
        <w:pStyle w:val="Heading2"/>
        <w:spacing w:after="100" w:before="260"/>
      </w:pPr>
      <w:r>
        <w:rPr>
          <w:color w:val="1F4E79"/>
        </w:rPr>
        <w:t xml:space="preserve">5. La encuesta del primer día</w:t>
      </w:r>
    </w:p>
    <w:p>
      <w:pPr>
        <w:spacing w:after="120"/>
      </w:pPr>
      <w:r>
        <w:rPr>
          <w:b w:val="false"/>
          <w:bCs w:val="false"/>
          <w:i w:val="false"/>
          <w:iCs w:val="false"/>
        </w:rPr>
        <w:t xml:space="preserve">Cinco preguntas, cinco minutos de la primera clase. Cambian más el diseño de un curso que muchas horas de reunión de área. Adáptelas y úselas tal cual el próximo período.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5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#</w:t>
            </w:r>
          </w:p>
        </w:tc>
        <w:tc>
          <w:tcPr>
            <w:tcW w:type="dxa" w:w="47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Pregunta</w:t>
            </w:r>
          </w:p>
        </w:tc>
        <w:tc>
          <w:tcPr>
            <w:tcW w:type="dxa" w:w="3800"/>
            <w:shd w:fill="DCE6F1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i w:val="false"/>
                <w:iCs w:val="false"/>
                <w:sz w:val="19"/>
                <w:szCs w:val="19"/>
              </w:rPr>
              <w:t xml:space="preserve">Qué le dice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recuerda de la materia que vio antes de esta?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El nivel real de partida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ha oído de esta materia? Sea honesto, no lo leo con nombre.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creencia que traen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¿Para qué cree que le va a servir?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La expectativa profesional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¿Cuántas horas a la semana puede dedicarle fuera de clase, de verdad?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Si puede pedir trabajo previo</w:t>
            </w:r>
          </w:p>
        </w:tc>
      </w:tr>
      <w:tr>
        <w:tc>
          <w:tcPr>
            <w:tcW w:type="dxa" w:w="5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47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¿Qué le gustaría poder hacer al terminar el curso?</w:t>
            </w:r>
          </w:p>
        </w:tc>
        <w:tc>
          <w:tcPr>
            <w:tcW w:type="dxa" w:w="3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Dónde enganchar el compromiso</w:t>
            </w:r>
          </w:p>
        </w:tc>
      </w:tr>
    </w:tbl>
    <w:p>
      <w:pPr>
        <w:pBdr>
          <w:left w:val="single" w:color="C99A1E" w:sz="18"/>
        </w:pBdr>
        <w:spacing w:after="200" w:before="140"/>
        <w:ind w:left="200"/>
      </w:pPr>
      <w:r>
        <w:rPr>
          <w:i/>
          <w:iCs/>
        </w:rPr>
        <w:t xml:space="preserve">Anónimas y sin nota. Si las firma, va a leer lo que el estudiante cree que usted quiere oír — que es exactamente el problema que este curso trata de evitar en todas partes.</w:t>
      </w:r>
    </w:p>
    <w:p>
      <w:pPr>
        <w:pBdr>
          <w:top w:val="single" w:color="BFBFBF" w:sz="6"/>
        </w:pBdr>
        <w:spacing w:before="340"/>
      </w:pPr>
      <w:r>
        <w:rPr>
          <w:i/>
          <w:iCs/>
          <w:color w:val="595959"/>
          <w:sz w:val="18"/>
          <w:szCs w:val="18"/>
        </w:rPr>
        <w:t xml:space="preserve">Curso Taxonomía de Fink · Módulo 2 · Esta hoja se actualiza en diez minutos cada vez que cambie el grupo.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2026-08-07T21:32:57.260Z</dcterms:created>
  <dcterms:modified xsi:type="dcterms:W3CDTF">2026-08-07T21:32:57.260Z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