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Taxonomía de Fink: rediseñar su asignatura para que los resultados de aprendizaje ocurran</w:t>
      </w:r>
    </w:p>
    <w:p>
      <w:pPr>
        <w:pStyle w:val="Title"/>
        <w:spacing w:after="120"/>
      </w:pPr>
      <w:r>
        <w:rPr>
          <w:color w:val="1F4E79"/>
        </w:rPr>
        <w:t xml:space="preserve">La media página que falta</w:t>
      </w:r>
    </w:p>
    <w:p>
      <w:pPr>
        <w:spacing w:after="260"/>
      </w:pPr>
      <w:r>
        <w:rPr>
          <w:b/>
          <w:bCs/>
          <w:sz w:val="25"/>
          <w:szCs w:val="25"/>
        </w:rPr>
        <w:t xml:space="preserve">Unidad 4.1 · dimensión humana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Poner a trabajar en grupo no produce aprendizaje sobre los otros. Lo produce pedirles que miren lo que pasó. Esta hoja añade ese paso a una actividad que usted ya usa.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Cómo usar esta hoja</w:t>
      </w:r>
    </w:p>
    <w:p>
      <w:pPr>
        <w:spacing w:after="90"/>
        <w:ind w:left="360" w:hanging="260"/>
      </w:pPr>
      <w:r>
        <w:rPr>
          <w:b/>
          <w:bCs/>
        </w:rPr>
        <w:t xml:space="preserve">1. </w:t>
      </w:r>
      <w:r>
        <w:t xml:space="preserve">Escriba sobre el documento y guárdelo, o imprímalo y escriba a mano.</w:t>
      </w:r>
    </w:p>
    <w:p>
      <w:pPr>
        <w:spacing w:after="90"/>
        <w:ind w:left="360" w:hanging="260"/>
      </w:pPr>
      <w:r>
        <w:rPr>
          <w:b/>
          <w:bCs/>
        </w:rPr>
        <w:t xml:space="preserve">2. </w:t>
      </w:r>
      <w:r>
        <w:t xml:space="preserve">Tenga al lado su diagnóstico del módulo 1: las tres intenciones que se le habían caído aparecen aquí.</w:t>
      </w:r>
    </w:p>
    <w:p>
      <w:pPr>
        <w:spacing w:after="90"/>
        <w:ind w:left="360" w:hanging="260"/>
      </w:pPr>
      <w:r>
        <w:rPr>
          <w:b/>
          <w:bCs/>
        </w:rPr>
        <w:t xml:space="preserve">3. </w:t>
      </w:r>
      <w:r>
        <w:t xml:space="preserve">Y la ficha de condiciones del módulo 2. Sigue mandando.</w:t>
      </w:r>
    </w:p>
    <w:p>
      <w:pPr>
        <w:pStyle w:val="Heading2"/>
        <w:spacing w:after="100" w:before="260"/>
      </w:pPr>
      <w:r>
        <w:rPr>
          <w:color w:val="1F4E79"/>
        </w:rPr>
        <w:t xml:space="preserve">1. Una actividad grupal que ya use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Cópiela tal cual: en qué consiste, cuánto dura, cuántos son por equipo.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¿Qué se entrega hoy al final?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¿Qué se califica de eso?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¿Se pregunta algo sobre cómo trabajaron?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2. Las tres preguntas de cierre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Media página, al terminar. Sin nota o con muy poca. Estas funcionan; adáptelas a su actividad.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Preguntas que funcionan</w:t>
            </w:r>
          </w:p>
        </w:tc>
        <w:tc>
          <w:tcPr>
            <w:tcW w:type="dxa" w:w="44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Por qué</w:t>
            </w:r>
          </w:p>
        </w:tc>
      </w:tr>
      <w:tr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¿Qué papel tendió a tomar en el equipo?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Apunta a una conducta propia, no a un juicio</w:t>
            </w:r>
          </w:p>
        </w:tc>
      </w:tr>
      <w:tr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¿Qué hizo cuando el equipo no se puso de acuerdo?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Un momento específico, sin respuesta que quede bien</w:t>
            </w:r>
          </w:p>
        </w:tc>
      </w:tr>
      <w:tr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¿Qué haría distinto si volviera a empezar, y por qué?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Mira el proceso, no el producto</w:t>
            </w:r>
          </w:p>
        </w:tc>
      </w:tr>
      <w:tr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¿Qué parte del trabajo pudo haber soltado, y qué se lo impidió?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Para quien asume todo el trabajo</w:t>
            </w:r>
          </w:p>
        </w:tc>
      </w:tr>
      <w:tr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¿Qué intentaron antes de darlo por perdido?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Cuando alguien del equipo se desconecta</w:t>
            </w:r>
          </w:p>
        </w:tc>
      </w:tr>
    </w:tbl>
    <w:p>
      <w:pPr>
        <w:pBdr>
          <w:left w:val="single" w:color="C99A1E" w:sz="18"/>
        </w:pBdr>
        <w:spacing w:after="200" w:before="140"/>
        <w:ind w:left="200"/>
      </w:pPr>
      <w:r>
        <w:rPr>
          <w:i/>
          <w:iCs/>
        </w:rPr>
        <w:t xml:space="preserve">Evite las que no producen nada: «¿cómo trabajó su equipo?», «¿qué aprendió?», «reflexione sobre su desempeño». Se responden con una frase amable que usted podría escribir sin conocer al estudiante.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Sus tres preguntas:</w:t>
      </w:r>
    </w:p>
    <w:p>
      <w:pPr>
        <w:spacing w:after="90" w:before="220"/>
        <w:ind w:left="360" w:hanging="260"/>
      </w:pPr>
      <w:r>
        <w:rPr>
          <w:b/>
          <w:bCs/>
          <w:color w:val="1F4E79"/>
        </w:rPr>
        <w:t xml:space="preserve">1. </w:t>
      </w: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spacing w:after="90" w:before="220"/>
        <w:ind w:left="360" w:hanging="260"/>
      </w:pPr>
      <w:r>
        <w:rPr>
          <w:b/>
          <w:bCs/>
          <w:color w:val="1F4E79"/>
        </w:rPr>
        <w:t xml:space="preserve">2. </w:t>
      </w: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spacing w:after="90" w:before="220"/>
        <w:ind w:left="360" w:hanging="260"/>
      </w:pPr>
      <w:r>
        <w:rPr>
          <w:b/>
          <w:bCs/>
          <w:color w:val="1F4E79"/>
        </w:rPr>
        <w:t xml:space="preserve">3. </w:t>
      </w: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3. Su meta de dimensión humana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Elija una de las dos direcciones y escríbala. Diga qué debe RECONOCER o PODER HACER el estudiante, nunca cómo debe ser.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Dirección</w:t>
            </w:r>
          </w:p>
        </w:tc>
        <w:tc>
          <w:tcPr>
            <w:tcW w:type="dxa" w:w="6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Qué nombra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Hacia adentro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Aprender sobre sí mismo: qué se le da bien, qué le cuesta, cómo reacciona, sus propios límites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Hacia afuera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Aprender sobre los demás y con los demás: trabajar con quien piensa distinto, entender otra perspectiva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</w:rPr>
        <w:t xml:space="preserve">Su meta: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Bdr>
          <w:left w:val="single" w:color="C99A1E" w:sz="18"/>
        </w:pBdr>
        <w:spacing w:after="200" w:before="140"/>
        <w:ind w:left="200"/>
      </w:pPr>
      <w:r>
        <w:rPr>
          <w:i/>
          <w:iCs/>
        </w:rPr>
        <w:t xml:space="preserve">Cuidado con la trampa: «ser un buen compañero de equipo» no es una meta, es un juicio moral. «Identificar qué papel asume y qué efecto tiene» sí lo es, y no juzga a nadie.</w:t>
      </w:r>
    </w:p>
    <w:p>
      <w:pPr>
        <w:pBdr>
          <w:top w:val="single" w:color="BFBFBF" w:sz="6"/>
        </w:pBdr>
        <w:spacing w:before="340"/>
      </w:pPr>
      <w:r>
        <w:rPr>
          <w:i/>
          <w:iCs/>
          <w:color w:val="595959"/>
          <w:sz w:val="18"/>
          <w:szCs w:val="18"/>
        </w:rPr>
        <w:t xml:space="preserve">Curso Taxonomía de Fink · Módulo 4 · Con estas tres metas se completan las seis del rediseño.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2026-08-07T21:36:46.950Z</dcterms:created>
  <dcterms:modified xsi:type="dcterms:W3CDTF">2026-08-07T21:36:46.952Z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