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Las cuatro piezas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5.2 · rol, contexto, producto y destinatario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consigna que funciona tiene cuatro cosas. Se cuentan con los dedos, y la que más se olvida es la que más rendimiento da.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la ficha de condiciones del módulo 2.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estas cinco hojas es el sistema de evaluación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Las cuatro piezas de su tarea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Pieza</w:t>
            </w:r>
          </w:p>
        </w:tc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es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 suya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Quién es el estudiante mientras la hace. No «un estudiante que responde»: un asesor, un perito, un docente de aula, un analista.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Dónde ocurre, con qué información cuenta y con cuál no, qué presiones hay.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Qué entrega exactamente y con qué extensión.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 quién lo hace. Cambia el registro por completo.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La que más se olvida es el destinatario, y es la que más cambia el resultado. Escribir para alguien que no es el profesor obliga a explicar de verdad, no a demostrar que se estudió.</w:t>
      </w:r>
    </w:p>
    <w:p>
      <w:pPr>
        <w:pStyle w:val="Heading2"/>
        <w:spacing w:after="100" w:before="260"/>
      </w:pPr>
      <w:r>
        <w:rPr>
          <w:color w:val="1F4E79"/>
        </w:rPr>
        <w:t xml:space="preserve">2. La consigna, escrita como se la va a dar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Redáctela seguida, lista para pegar en su programa.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La prueba: ¿se puede resolver copiando?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Léala otra vez y pregúntese si se puede resolver copiando del libro o pegando de una herramienta de 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¿Se puede resolver copiando? (sí / no)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la respuesta es SÍ, cambie una pieza. Las que suelen resolverlo: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Datos locales: que el caso sea del municipio del estudiante, no de un libro.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decisión sin respuesta única: dos caminos defendibles y hay que elegir y sostener.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Información incompleta: falta un dato y hay que pedirlo, estimarlo o advertirlo.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destinatario concreto que obliga a un registro específico.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 consigna corregida, si hizo falta: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Cuántas y de qué tamaño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Decisión que su ficha de condiciones ya condiciona. Marque la que corresponde a su caso: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Opción</w:t>
            </w:r>
          </w:p>
        </w:tc>
        <w:tc>
          <w:tcPr>
            <w:tcW w:type="dxa" w:w="5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Cuándo conviene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tarea grande con acompañamiento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Grupos pequeños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Tareas cortas y más frecuentes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Grupos grandes: media página bien pedida rinde más que diez mal leídas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grande en grupo + un componente individual pequeño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Grupos grandes, evitando el reparto de partes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Evaluación entre pares con rúbrica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Grupos grandes; además produce aprender a aprender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Muestreo declarado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lee a fondo un subconjunto rotativo, y se dice de antemano. Es honesto y sostenible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Su decisión y por qué: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2026-08-07T21:38:26.568Z</dcterms:created>
  <dcterms:modified xsi:type="dcterms:W3CDTF">2026-08-07T21:38:26.568Z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