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595959"/>
          <w:sz w:val="19"/>
          <w:szCs w:val="19"/>
        </w:rPr>
        <w:t xml:space="preserve">Taxonomía de Fink: rediseñar su asignatura para que los resultados de aprendizaje ocurran</w:t>
      </w:r>
    </w:p>
    <w:p>
      <w:pPr>
        <w:pStyle w:val="Title"/>
        <w:spacing w:after="120"/>
      </w:pPr>
      <w:r>
        <w:rPr>
          <w:color w:val="1F4E79"/>
        </w:rPr>
        <w:t xml:space="preserve">Mi plan de devolución</w:t>
      </w:r>
    </w:p>
    <w:p>
      <w:pPr>
        <w:spacing w:after="260"/>
      </w:pPr>
      <w:r>
        <w:rPr>
          <w:b/>
          <w:bCs/>
          <w:sz w:val="25"/>
          <w:szCs w:val="25"/>
        </w:rPr>
        <w:t xml:space="preserve">Unidad 5.5 · autoevaluación y retroalimentación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Una devolución que no llega es peor que una modesta que sí. Esta hoja diseña el plan que sus condiciones aguantan, con sus números reales.</w:t>
      </w:r>
    </w:p>
    <w:p>
      <w:pPr>
        <w:pStyle w:val="Heading3"/>
        <w:spacing w:after="80" w:before="180"/>
      </w:pPr>
      <w:r>
        <w:rPr>
          <w:b/>
          <w:bCs/>
          <w:color w:val="595959"/>
        </w:rPr>
        <w:t xml:space="preserve">Cómo usar esta hoja</w:t>
      </w:r>
    </w:p>
    <w:p>
      <w:pPr>
        <w:spacing w:after="90"/>
        <w:ind w:left="360" w:hanging="260"/>
      </w:pPr>
      <w:r>
        <w:rPr>
          <w:b/>
          <w:bCs/>
        </w:rPr>
        <w:t xml:space="preserve">1. </w:t>
      </w:r>
      <w:r>
        <w:t xml:space="preserve">Escriba sobre el documento y guárdelo, o imprímalo y escriba a mano.</w:t>
      </w:r>
    </w:p>
    <w:p>
      <w:pPr>
        <w:spacing w:after="90"/>
        <w:ind w:left="360" w:hanging="260"/>
      </w:pPr>
      <w:r>
        <w:rPr>
          <w:b/>
          <w:bCs/>
        </w:rPr>
        <w:t xml:space="preserve">2. </w:t>
      </w:r>
      <w:r>
        <w:t xml:space="preserve">Tenga al lado sus seis metas y la ficha de condiciones del módulo 2.</w:t>
      </w:r>
    </w:p>
    <w:p>
      <w:pPr>
        <w:spacing w:after="90"/>
        <w:ind w:left="360" w:hanging="260"/>
      </w:pPr>
      <w:r>
        <w:rPr>
          <w:b/>
          <w:bCs/>
        </w:rPr>
        <w:t xml:space="preserve">3. </w:t>
      </w:r>
      <w:r>
        <w:t xml:space="preserve">Lo que salga de estas cinco hojas es el sistema de evaluación que se entrega.</w:t>
      </w:r>
    </w:p>
    <w:p>
      <w:pPr>
        <w:pStyle w:val="Heading2"/>
        <w:spacing w:after="100" w:before="260"/>
      </w:pPr>
      <w:r>
        <w:rPr>
          <w:color w:val="1F4E79"/>
        </w:rPr>
        <w:t xml:space="preserve">1. El momento de autoevaluación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¿En qué punto del curso?</w:t>
            </w:r>
          </w:p>
        </w:tc>
        <w:tc>
          <w:tcPr>
            <w:tcW w:type="dxa" w:w="38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¿Con qué instrumento? (la rúbrica antes de entregar, la comparación después, la pregunta de cierre)</w:t>
            </w:r>
          </w:p>
        </w:tc>
        <w:tc>
          <w:tcPr>
            <w:tcW w:type="dxa" w:w="3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¿Qué hace usted con ella?</w:t>
            </w:r>
          </w:p>
        </w:tc>
        <w:tc>
          <w:tcPr>
            <w:tcW w:type="dxa" w:w="3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  <w:r>
        <w:rPr>
          <w:b w:val="false"/>
          <w:bCs w:val="false"/>
          <w:i/>
          <w:iCs/>
        </w:rPr>
        <w:t xml:space="preserve">Tres formas que funcionan y cuestan poco: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La autoevaluación con rúbrica antes de entregar, que se entrega junto con el trabajo. Sube la calidad de lo que entregan.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La comparación después: usted devuelve su valoración y el estudiante compara. Donde no coinciden hay una conversación corta y muy productiva.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La pregunta de cierre: «¿qué haría distinto si volviera a empezar?». Cuesta un renglón.</w:t>
      </w:r>
    </w:p>
    <w:p>
      <w:pPr>
        <w:pStyle w:val="Heading2"/>
        <w:spacing w:after="100" w:before="260"/>
      </w:pPr>
      <w:r>
        <w:rPr>
          <w:color w:val="1F4E79"/>
        </w:rPr>
        <w:t xml:space="preserve">2. El plan de retroalimentación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2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Momento</w:t>
            </w:r>
          </w:p>
        </w:tc>
        <w:tc>
          <w:tcPr>
            <w:tcW w:type="dxa" w:w="30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Sobre qué</w:t>
            </w:r>
          </w:p>
        </w:tc>
        <w:tc>
          <w:tcPr>
            <w:tcW w:type="dxa" w:w="30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En qué formato</w:t>
            </w:r>
          </w:p>
        </w:tc>
        <w:tc>
          <w:tcPr>
            <w:tcW w:type="dxa" w:w="18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Cuántos días tarda</w:t>
            </w:r>
          </w:p>
        </w:tc>
      </w:tr>
      <w:tr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pageBreakBefore/>
      </w:pPr>
    </w:p>
    <w:p>
      <w:pPr>
        <w:pStyle w:val="Heading2"/>
        <w:spacing w:after="100" w:before="260"/>
      </w:pPr>
      <w:r>
        <w:rPr>
          <w:color w:val="1F4E79"/>
        </w:rPr>
        <w:t xml:space="preserve">3. Las cuatro condiciones, con sus números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8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Condición</w:t>
            </w:r>
          </w:p>
        </w:tc>
        <w:tc>
          <w:tcPr>
            <w:tcW w:type="dxa" w:w="44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Qué exige</w:t>
            </w:r>
          </w:p>
        </w:tc>
        <w:tc>
          <w:tcPr>
            <w:tcW w:type="dxa" w:w="28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Su caso</w:t>
            </w:r>
          </w:p>
        </w:tc>
      </w:tr>
      <w:tr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Frecuente</w:t>
            </w:r>
          </w:p>
        </w:tc>
        <w:tc>
          <w:tcPr>
            <w:tcW w:type="dxa" w:w="4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Muchas devoluciones pequeñas, no una grande al final</w:t>
            </w:r>
          </w:p>
        </w:tc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Inmediata</w:t>
            </w:r>
          </w:p>
        </w:tc>
        <w:tc>
          <w:tcPr>
            <w:tcW w:type="dxa" w:w="4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Cuanto más cerca de la entrega, más útil</w:t>
            </w:r>
          </w:p>
        </w:tc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Discriminante</w:t>
            </w:r>
          </w:p>
        </w:tc>
        <w:tc>
          <w:tcPr>
            <w:tcW w:type="dxa" w:w="4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Con criterios explícitos: qué está logrado y qué no</w:t>
            </w:r>
          </w:p>
        </w:tc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Empática</w:t>
            </w:r>
          </w:p>
        </w:tc>
        <w:tc>
          <w:tcPr>
            <w:tcW w:type="dxa" w:w="4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Sobre el trabajo, no sobre la persona, y abriendo una salida</w:t>
            </w:r>
          </w:p>
        </w:tc>
        <w:tc>
          <w:tcPr>
            <w:tcW w:type="dxa" w:w="2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00" w:before="260"/>
      </w:pPr>
      <w:r>
        <w:rPr>
          <w:color w:val="1F4E79"/>
        </w:rPr>
        <w:t xml:space="preserve">4. La cuenta que decide si es viable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Estudiantes</w:t>
            </w:r>
          </w:p>
        </w:tc>
        <w:tc>
          <w:tcPr>
            <w:tcW w:type="dxa" w:w="38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Momentos de devolución planeados</w:t>
            </w:r>
          </w:p>
        </w:tc>
        <w:tc>
          <w:tcPr>
            <w:tcW w:type="dxa" w:w="3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Minutos por estudiante y momento</w:t>
            </w:r>
          </w:p>
        </w:tc>
        <w:tc>
          <w:tcPr>
            <w:tcW w:type="dxa" w:w="3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HORAS TOTALES (multiplique)</w:t>
            </w:r>
          </w:p>
        </w:tc>
        <w:tc>
          <w:tcPr>
            <w:tcW w:type="dxa" w:w="3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¿Las tiene? (sí / no)</w:t>
            </w:r>
          </w:p>
        </w:tc>
        <w:tc>
          <w:tcPr>
            <w:tcW w:type="dxa" w:w="3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pBdr>
          <w:left w:val="single" w:color="C99A1E" w:sz="18"/>
        </w:pBdr>
        <w:spacing w:after="200" w:before="140"/>
        <w:ind w:left="200"/>
      </w:pPr>
      <w:r>
        <w:rPr>
          <w:i/>
          <w:iCs/>
        </w:rPr>
        <w:t xml:space="preserve">Si la respuesta es NO, no reduzca los momentos: cambie el formato. Devolución colectiva de quince minutos, rúbrica marcada con una frase, evaluación entre pares, o responder a la autoevaluación en vez de construir la suya desde cero. Las tres devoluciones que mejor funcionan son sostenibles con grupos grandes.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Su plan ajustado: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</w:tbl>
    <w:p>
      <w:pPr>
        <w:pBdr>
          <w:top w:val="single" w:color="BFBFBF" w:sz="6"/>
        </w:pBdr>
        <w:spacing w:before="340"/>
      </w:pPr>
      <w:r>
        <w:rPr>
          <w:i/>
          <w:iCs/>
          <w:color w:val="595959"/>
          <w:sz w:val="18"/>
          <w:szCs w:val="18"/>
        </w:rPr>
        <w:t xml:space="preserve">Curso Taxonomía de Fink · Módulo 5 · Esta es la pieza más grande del rediseño.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2026-08-07T21:38:26.709Z</dcterms:created>
  <dcterms:modified xsi:type="dcterms:W3CDTF">2026-08-07T21:38:26.709Z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