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Los cuatro materiales del módulo 6</w:t>
      </w:r>
    </w:p>
    <w:p>
      <w:pPr>
        <w:spacing w:after="240"/>
      </w:pPr>
      <w:r>
        <w:rPr>
          <w:b/>
          <w:bCs/>
          <w:sz w:val="26"/>
          <w:szCs w:val="26"/>
        </w:rPr>
        <w:t xml:space="preserve">Clase 6 · Todo en un solo archivo</w:t>
      </w:r>
    </w:p>
    <w:p>
      <w:pPr>
        <w:spacing w:after="120"/>
      </w:pPr>
      <w:r>
        <w:rPr>
          <w:b w:val="false"/>
          <w:bCs w:val="false"/>
          <w:i w:val="false"/>
          <w:iCs w:val="false"/>
        </w:rPr>
        <w:t xml:space="preserve">Este documento reúne las cuatro hojas de práctica de las unidades 6.1 a 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DCE6F1" w:val="clear"/>
            <w:tcMar>
              <w:top w:type="dxa" w:w="80"/>
              <w:left w:type="dxa" w:w="120"/>
              <w:bottom w:type="dxa" w:w="80"/>
              <w:right w:type="dxa" w:w="120"/>
            </w:tcMar>
          </w:tcPr>
          <w:p>
            <w:r>
              <w:rPr>
                <w:b/>
                <w:bCs/>
                <w:sz w:val="19"/>
                <w:szCs w:val="19"/>
              </w:rPr>
              <w:t xml:space="preserve">Unidad</w:t>
            </w:r>
          </w:p>
        </w:tc>
        <w:tc>
          <w:tcPr>
            <w:tcW w:type="dxa" w:w="3400"/>
            <w:shd w:fill="DCE6F1" w:val="clear"/>
            <w:tcMar>
              <w:top w:type="dxa" w:w="80"/>
              <w:left w:type="dxa" w:w="120"/>
              <w:bottom w:type="dxa" w:w="80"/>
              <w:right w:type="dxa" w:w="120"/>
            </w:tcMar>
          </w:tcPr>
          <w:p>
            <w:r>
              <w:rPr>
                <w:b/>
                <w:bCs/>
                <w:sz w:val="19"/>
                <w:szCs w:val="19"/>
              </w:rPr>
              <w:t xml:space="preserve">Material</w:t>
            </w:r>
          </w:p>
        </w:tc>
        <w:tc>
          <w:tcPr>
            <w:tcW w:type="dxa" w:w="4600"/>
            <w:shd w:fill="DCE6F1" w:val="clear"/>
            <w:tcMar>
              <w:top w:type="dxa" w:w="80"/>
              <w:left w:type="dxa" w:w="120"/>
              <w:bottom w:type="dxa" w:w="80"/>
              <w:right w:type="dxa" w:w="120"/>
            </w:tcMar>
          </w:tcPr>
          <w:p>
            <w:r>
              <w:rPr>
                <w:b/>
                <w:bCs/>
                <w:sz w:val="19"/>
                <w:szCs w:val="19"/>
              </w:rPr>
              <w:t xml:space="preserve">Para qué</w:t>
            </w:r>
          </w:p>
        </w:tc>
      </w:tr>
      <w:tr>
        <w:tc>
          <w:tcPr>
            <w:tcW w:type="dxa" w:w="1200"/>
            <w:tcMar>
              <w:top w:type="dxa" w:w="80"/>
              <w:left w:type="dxa" w:w="120"/>
              <w:bottom w:type="dxa" w:w="80"/>
              <w:right w:type="dxa" w:w="120"/>
            </w:tcMar>
          </w:tcPr>
          <w:p>
            <w:r>
              <w:rPr>
                <w:b w:val="false"/>
                <w:bCs w:val="false"/>
                <w:sz w:val="19"/>
                <w:szCs w:val="19"/>
              </w:rPr>
              <w:t xml:space="preserve">6.1</w:t>
            </w:r>
          </w:p>
        </w:tc>
        <w:tc>
          <w:tcPr>
            <w:tcW w:type="dxa" w:w="3400"/>
            <w:tcMar>
              <w:top w:type="dxa" w:w="80"/>
              <w:left w:type="dxa" w:w="120"/>
              <w:bottom w:type="dxa" w:w="80"/>
              <w:right w:type="dxa" w:w="120"/>
            </w:tcMar>
          </w:tcPr>
          <w:p>
            <w:r>
              <w:rPr>
                <w:b w:val="false"/>
                <w:bCs w:val="false"/>
                <w:sz w:val="19"/>
                <w:szCs w:val="19"/>
              </w:rPr>
              <w:t xml:space="preserve">Qué evidencia cada nivel</w:t>
            </w:r>
          </w:p>
        </w:tc>
        <w:tc>
          <w:tcPr>
            <w:tcW w:type="dxa" w:w="4600"/>
            <w:tcMar>
              <w:top w:type="dxa" w:w="80"/>
              <w:left w:type="dxa" w:w="120"/>
              <w:bottom w:type="dxa" w:w="80"/>
              <w:right w:type="dxa" w:w="120"/>
            </w:tcMar>
          </w:tcPr>
          <w:p>
            <w:r>
              <w:rPr>
                <w:b w:val="false"/>
                <w:bCs w:val="false"/>
                <w:sz w:val="19"/>
                <w:szCs w:val="19"/>
              </w:rPr>
              <w:t xml:space="preserve">Reconocer el techo de sus instrumentos</w:t>
            </w:r>
          </w:p>
        </w:tc>
      </w:tr>
      <w:tr>
        <w:tc>
          <w:tcPr>
            <w:tcW w:type="dxa" w:w="1200"/>
            <w:tcMar>
              <w:top w:type="dxa" w:w="80"/>
              <w:left w:type="dxa" w:w="120"/>
              <w:bottom w:type="dxa" w:w="80"/>
              <w:right w:type="dxa" w:w="120"/>
            </w:tcMar>
          </w:tcPr>
          <w:p>
            <w:r>
              <w:rPr>
                <w:b w:val="false"/>
                <w:bCs w:val="false"/>
                <w:sz w:val="19"/>
                <w:szCs w:val="19"/>
              </w:rPr>
              <w:t xml:space="preserve">6.2</w:t>
            </w:r>
          </w:p>
        </w:tc>
        <w:tc>
          <w:tcPr>
            <w:tcW w:type="dxa" w:w="3400"/>
            <w:tcMar>
              <w:top w:type="dxa" w:w="80"/>
              <w:left w:type="dxa" w:w="120"/>
              <w:bottom w:type="dxa" w:w="80"/>
              <w:right w:type="dxa" w:w="120"/>
            </w:tcMar>
          </w:tcPr>
          <w:p>
            <w:r>
              <w:rPr>
                <w:b w:val="false"/>
                <w:bCs w:val="false"/>
                <w:sz w:val="19"/>
                <w:szCs w:val="19"/>
              </w:rPr>
              <w:t xml:space="preserve">Instrumentos para lo invisible</w:t>
            </w:r>
          </w:p>
        </w:tc>
        <w:tc>
          <w:tcPr>
            <w:tcW w:type="dxa" w:w="4600"/>
            <w:tcMar>
              <w:top w:type="dxa" w:w="80"/>
              <w:left w:type="dxa" w:w="120"/>
              <w:bottom w:type="dxa" w:w="80"/>
              <w:right w:type="dxa" w:w="120"/>
            </w:tcMar>
          </w:tcPr>
          <w:p>
            <w:r>
              <w:rPr>
                <w:b w:val="false"/>
                <w:bCs w:val="false"/>
                <w:sz w:val="19"/>
                <w:szCs w:val="19"/>
              </w:rPr>
              <w:t xml:space="preserve">Elegir y adaptar uno de los tres para su unidad</w:t>
            </w:r>
          </w:p>
        </w:tc>
      </w:tr>
      <w:tr>
        <w:tc>
          <w:tcPr>
            <w:tcW w:type="dxa" w:w="1200"/>
            <w:tcMar>
              <w:top w:type="dxa" w:w="80"/>
              <w:left w:type="dxa" w:w="120"/>
              <w:bottom w:type="dxa" w:w="80"/>
              <w:right w:type="dxa" w:w="120"/>
            </w:tcMar>
          </w:tcPr>
          <w:p>
            <w:r>
              <w:rPr>
                <w:b w:val="false"/>
                <w:bCs w:val="false"/>
                <w:sz w:val="19"/>
                <w:szCs w:val="19"/>
              </w:rPr>
              <w:t xml:space="preserve">6.3</w:t>
            </w:r>
          </w:p>
        </w:tc>
        <w:tc>
          <w:tcPr>
            <w:tcW w:type="dxa" w:w="3400"/>
            <w:tcMar>
              <w:top w:type="dxa" w:w="80"/>
              <w:left w:type="dxa" w:w="120"/>
              <w:bottom w:type="dxa" w:w="80"/>
              <w:right w:type="dxa" w:w="120"/>
            </w:tcMar>
          </w:tcPr>
          <w:p>
            <w:r>
              <w:rPr>
                <w:b w:val="false"/>
                <w:bCs w:val="false"/>
                <w:sz w:val="19"/>
                <w:szCs w:val="19"/>
              </w:rPr>
              <w:t xml:space="preserve">La escala 0–4</w:t>
            </w:r>
          </w:p>
        </w:tc>
        <w:tc>
          <w:tcPr>
            <w:tcW w:type="dxa" w:w="4600"/>
            <w:tcMar>
              <w:top w:type="dxa" w:w="80"/>
              <w:left w:type="dxa" w:w="120"/>
              <w:bottom w:type="dxa" w:w="80"/>
              <w:right w:type="dxa" w:w="120"/>
            </w:tcMar>
          </w:tcPr>
          <w:p>
            <w:r>
              <w:rPr>
                <w:b w:val="false"/>
                <w:bCs w:val="false"/>
                <w:sz w:val="19"/>
                <w:szCs w:val="19"/>
              </w:rPr>
              <w:t xml:space="preserve">La escala completa y la plantilla de rúbrica en blanco</w:t>
            </w:r>
          </w:p>
        </w:tc>
      </w:tr>
      <w:tr>
        <w:tc>
          <w:tcPr>
            <w:tcW w:type="dxa" w:w="1200"/>
            <w:tcMar>
              <w:top w:type="dxa" w:w="80"/>
              <w:left w:type="dxa" w:w="120"/>
              <w:bottom w:type="dxa" w:w="80"/>
              <w:right w:type="dxa" w:w="120"/>
            </w:tcMar>
          </w:tcPr>
          <w:p>
            <w:r>
              <w:rPr>
                <w:b w:val="false"/>
                <w:bCs w:val="false"/>
                <w:sz w:val="19"/>
                <w:szCs w:val="19"/>
              </w:rPr>
              <w:t xml:space="preserve">6.4</w:t>
            </w:r>
          </w:p>
        </w:tc>
        <w:tc>
          <w:tcPr>
            <w:tcW w:type="dxa" w:w="3400"/>
            <w:tcMar>
              <w:top w:type="dxa" w:w="80"/>
              <w:left w:type="dxa" w:w="120"/>
              <w:bottom w:type="dxa" w:w="80"/>
              <w:right w:type="dxa" w:w="120"/>
            </w:tcMar>
          </w:tcPr>
          <w:p>
            <w:r>
              <w:rPr>
                <w:b w:val="false"/>
                <w:bCs w:val="false"/>
                <w:sz w:val="19"/>
                <w:szCs w:val="19"/>
              </w:rPr>
              <w:t xml:space="preserve">Los cuatro marcos</w:t>
            </w:r>
          </w:p>
        </w:tc>
        <w:tc>
          <w:tcPr>
            <w:tcW w:type="dxa" w:w="4600"/>
            <w:tcMar>
              <w:top w:type="dxa" w:w="80"/>
              <w:left w:type="dxa" w:w="120"/>
              <w:bottom w:type="dxa" w:w="80"/>
              <w:right w:type="dxa" w:w="120"/>
            </w:tcMar>
          </w:tcPr>
          <w:p>
            <w:r>
              <w:rPr>
                <w:b w:val="false"/>
                <w:bCs w:val="false"/>
                <w:sz w:val="19"/>
                <w:szCs w:val="19"/>
              </w:rPr>
              <w:t xml:space="preserve">La comparación y los tres límites del modelo</w:t>
            </w:r>
          </w:p>
        </w:tc>
      </w:tr>
    </w:tbl>
    <w:p>
      <w:pPr>
        <w:pageBreakBefore/>
      </w:pPr>
    </w:p>
    <w:p>
      <w:pPr>
        <w:spacing w:after="120"/>
      </w:pPr>
      <w:r>
        <w:rPr>
          <w:b w:val="false"/>
          <w:bCs w:val="false"/>
          <w:i w:val="false"/>
          <w:iCs w:val="false"/>
        </w:rPr>
        <w:t xml:space="preserve">El instrumento con el que evalúa tiene que poder mostrar lo que usted dice que quiere ver. Suena obvio y casi nunca se cumple.</w:t>
      </w:r>
    </w:p>
    <w:p>
      <w:pPr>
        <w:pStyle w:val="Heading2"/>
        <w:spacing w:after="100" w:before="240"/>
      </w:pPr>
      <w:r>
        <w:rPr>
          <w:color w:val="1F4E79"/>
        </w:rPr>
        <w:t xml:space="preserve">El rastro que deja cada nivel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700"/>
            <w:shd w:fill="DCE6F1" w:val="clear"/>
            <w:tcMar>
              <w:top w:type="dxa" w:w="80"/>
              <w:left w:type="dxa" w:w="120"/>
              <w:bottom w:type="dxa" w:w="80"/>
              <w:right w:type="dxa" w:w="120"/>
            </w:tcMar>
          </w:tcPr>
          <w:p>
            <w:r>
              <w:rPr>
                <w:b/>
                <w:bCs/>
                <w:sz w:val="19"/>
                <w:szCs w:val="19"/>
              </w:rPr>
              <w:t xml:space="preserve">Nivel</w:t>
            </w:r>
          </w:p>
        </w:tc>
        <w:tc>
          <w:tcPr>
            <w:tcW w:type="dxa" w:w="2800"/>
            <w:shd w:fill="DCE6F1" w:val="clear"/>
            <w:tcMar>
              <w:top w:type="dxa" w:w="80"/>
              <w:left w:type="dxa" w:w="120"/>
              <w:bottom w:type="dxa" w:w="80"/>
              <w:right w:type="dxa" w:w="120"/>
            </w:tcMar>
          </w:tcPr>
          <w:p>
            <w:r>
              <w:rPr>
                <w:b/>
                <w:bCs/>
                <w:sz w:val="19"/>
                <w:szCs w:val="19"/>
              </w:rPr>
              <w:t xml:space="preserve">Qué muestra el estudiante</w:t>
            </w:r>
          </w:p>
        </w:tc>
        <w:tc>
          <w:tcPr>
            <w:tcW w:type="dxa" w:w="4700"/>
            <w:shd w:fill="DCE6F1" w:val="clear"/>
            <w:tcMar>
              <w:top w:type="dxa" w:w="80"/>
              <w:left w:type="dxa" w:w="120"/>
              <w:bottom w:type="dxa" w:w="80"/>
              <w:right w:type="dxa" w:w="120"/>
            </w:tcMar>
          </w:tcPr>
          <w:p>
            <w:r>
              <w:rPr>
                <w:b/>
                <w:bCs/>
                <w:sz w:val="19"/>
                <w:szCs w:val="19"/>
              </w:rPr>
              <w:t xml:space="preserve">Formatos de evidencia</w:t>
            </w:r>
          </w:p>
        </w:tc>
      </w:tr>
      <w:tr>
        <w:tc>
          <w:tcPr>
            <w:tcW w:type="dxa" w:w="1700"/>
            <w:tcMar>
              <w:top w:type="dxa" w:w="80"/>
              <w:left w:type="dxa" w:w="120"/>
              <w:bottom w:type="dxa" w:w="80"/>
              <w:right w:type="dxa" w:w="120"/>
            </w:tcMar>
          </w:tcPr>
          <w:p>
            <w:r>
              <w:rPr>
                <w:b w:val="false"/>
                <w:bCs w:val="false"/>
                <w:sz w:val="19"/>
                <w:szCs w:val="19"/>
              </w:rPr>
              <w:t xml:space="preserve">1 · Recuperación</w:t>
            </w:r>
          </w:p>
        </w:tc>
        <w:tc>
          <w:tcPr>
            <w:tcW w:type="dxa" w:w="2800"/>
            <w:tcMar>
              <w:top w:type="dxa" w:w="80"/>
              <w:left w:type="dxa" w:w="120"/>
              <w:bottom w:type="dxa" w:w="80"/>
              <w:right w:type="dxa" w:w="120"/>
            </w:tcMar>
          </w:tcPr>
          <w:p>
            <w:r>
              <w:rPr>
                <w:b w:val="false"/>
                <w:bCs w:val="false"/>
                <w:sz w:val="19"/>
                <w:szCs w:val="19"/>
              </w:rPr>
              <w:t xml:space="preserve">Que tiene el dato disponible.</w:t>
            </w:r>
          </w:p>
        </w:tc>
        <w:tc>
          <w:tcPr>
            <w:tcW w:type="dxa" w:w="4700"/>
            <w:tcMar>
              <w:top w:type="dxa" w:w="80"/>
              <w:left w:type="dxa" w:w="120"/>
              <w:bottom w:type="dxa" w:w="80"/>
              <w:right w:type="dxa" w:w="120"/>
            </w:tcMar>
          </w:tcPr>
          <w:p>
            <w:r>
              <w:rPr>
                <w:b w:val="false"/>
                <w:bCs w:val="false"/>
                <w:sz w:val="19"/>
                <w:szCs w:val="19"/>
              </w:rPr>
              <w:t xml:space="preserve">Opción múltiple · Emparejamiento de columnas · Respuesta corta · Prueba de ejecución con porcentaje de error</w:t>
            </w:r>
          </w:p>
        </w:tc>
      </w:tr>
      <w:tr>
        <w:tc>
          <w:tcPr>
            <w:tcW w:type="dxa" w:w="1700"/>
            <w:tcMar>
              <w:top w:type="dxa" w:w="80"/>
              <w:left w:type="dxa" w:w="120"/>
              <w:bottom w:type="dxa" w:w="80"/>
              <w:right w:type="dxa" w:w="120"/>
            </w:tcMar>
          </w:tcPr>
          <w:p>
            <w:r>
              <w:rPr>
                <w:b w:val="false"/>
                <w:bCs w:val="false"/>
                <w:sz w:val="19"/>
                <w:szCs w:val="19"/>
              </w:rPr>
              <w:t xml:space="preserve">2 · Comprensión</w:t>
            </w:r>
          </w:p>
        </w:tc>
        <w:tc>
          <w:tcPr>
            <w:tcW w:type="dxa" w:w="2800"/>
            <w:tcMar>
              <w:top w:type="dxa" w:w="80"/>
              <w:left w:type="dxa" w:w="120"/>
              <w:bottom w:type="dxa" w:w="80"/>
              <w:right w:type="dxa" w:w="120"/>
            </w:tcMar>
          </w:tcPr>
          <w:p>
            <w:r>
              <w:rPr>
                <w:b w:val="false"/>
                <w:bCs w:val="false"/>
                <w:sz w:val="19"/>
                <w:szCs w:val="19"/>
              </w:rPr>
              <w:t xml:space="preserve">Que se quedó con lo esencial y lo puede transformar.</w:t>
            </w:r>
          </w:p>
        </w:tc>
        <w:tc>
          <w:tcPr>
            <w:tcW w:type="dxa" w:w="4700"/>
            <w:tcMar>
              <w:top w:type="dxa" w:w="80"/>
              <w:left w:type="dxa" w:w="120"/>
              <w:bottom w:type="dxa" w:w="80"/>
              <w:right w:type="dxa" w:w="120"/>
            </w:tcMar>
          </w:tcPr>
          <w:p>
            <w:r>
              <w:rPr>
                <w:b w:val="false"/>
                <w:bCs w:val="false"/>
                <w:sz w:val="19"/>
                <w:szCs w:val="19"/>
              </w:rPr>
              <w:t xml:space="preserve">Resumen explicativo · Parafraseo oral o escrito · Traducción de un texto a esquema · Diagrama de flujo</w:t>
            </w:r>
          </w:p>
        </w:tc>
      </w:tr>
      <w:tr>
        <w:tc>
          <w:tcPr>
            <w:tcW w:type="dxa" w:w="1700"/>
            <w:tcMar>
              <w:top w:type="dxa" w:w="80"/>
              <w:left w:type="dxa" w:w="120"/>
              <w:bottom w:type="dxa" w:w="80"/>
              <w:right w:type="dxa" w:w="120"/>
            </w:tcMar>
          </w:tcPr>
          <w:p>
            <w:r>
              <w:rPr>
                <w:b w:val="false"/>
                <w:bCs w:val="false"/>
                <w:sz w:val="19"/>
                <w:szCs w:val="19"/>
              </w:rPr>
              <w:t xml:space="preserve">3 · Análisis</w:t>
            </w:r>
          </w:p>
        </w:tc>
        <w:tc>
          <w:tcPr>
            <w:tcW w:type="dxa" w:w="2800"/>
            <w:tcMar>
              <w:top w:type="dxa" w:w="80"/>
              <w:left w:type="dxa" w:w="120"/>
              <w:bottom w:type="dxa" w:w="80"/>
              <w:right w:type="dxa" w:w="120"/>
            </w:tcMar>
          </w:tcPr>
          <w:p>
            <w:r>
              <w:rPr>
                <w:b w:val="false"/>
                <w:bCs w:val="false"/>
                <w:sz w:val="19"/>
                <w:szCs w:val="19"/>
              </w:rPr>
              <w:t xml:space="preserve">Que llegó a algo que no estaba dicho.</w:t>
            </w:r>
          </w:p>
        </w:tc>
        <w:tc>
          <w:tcPr>
            <w:tcW w:type="dxa" w:w="4700"/>
            <w:tcMar>
              <w:top w:type="dxa" w:w="80"/>
              <w:left w:type="dxa" w:w="120"/>
              <w:bottom w:type="dxa" w:w="80"/>
              <w:right w:type="dxa" w:w="120"/>
            </w:tcMar>
          </w:tcPr>
          <w:p>
            <w:r>
              <w:rPr>
                <w:b w:val="false"/>
                <w:bCs w:val="false"/>
                <w:sz w:val="19"/>
                <w:szCs w:val="19"/>
              </w:rPr>
              <w:t xml:space="preserve">Estudio de caso con un sesgo o una inconsistencia · Matriz comparativa con criterios propios · Deducción a partir de un principio · Clasificación de datos en bruto</w:t>
            </w:r>
          </w:p>
        </w:tc>
      </w:tr>
      <w:tr>
        <w:tc>
          <w:tcPr>
            <w:tcW w:type="dxa" w:w="1700"/>
            <w:tcMar>
              <w:top w:type="dxa" w:w="80"/>
              <w:left w:type="dxa" w:w="120"/>
              <w:bottom w:type="dxa" w:w="80"/>
              <w:right w:type="dxa" w:w="120"/>
            </w:tcMar>
          </w:tcPr>
          <w:p>
            <w:r>
              <w:rPr>
                <w:b w:val="false"/>
                <w:bCs w:val="false"/>
                <w:sz w:val="19"/>
                <w:szCs w:val="19"/>
              </w:rPr>
              <w:t xml:space="preserve">4 · Utilización</w:t>
            </w:r>
          </w:p>
        </w:tc>
        <w:tc>
          <w:tcPr>
            <w:tcW w:type="dxa" w:w="2800"/>
            <w:tcMar>
              <w:top w:type="dxa" w:w="80"/>
              <w:left w:type="dxa" w:w="120"/>
              <w:bottom w:type="dxa" w:w="80"/>
              <w:right w:type="dxa" w:w="120"/>
            </w:tcMar>
          </w:tcPr>
          <w:p>
            <w:r>
              <w:rPr>
                <w:b w:val="false"/>
                <w:bCs w:val="false"/>
                <w:sz w:val="19"/>
                <w:szCs w:val="19"/>
              </w:rPr>
              <w:t xml:space="preserve">Que usó el conocimiento para resolver algo real.</w:t>
            </w:r>
          </w:p>
        </w:tc>
        <w:tc>
          <w:tcPr>
            <w:tcW w:type="dxa" w:w="4700"/>
            <w:tcMar>
              <w:top w:type="dxa" w:w="80"/>
              <w:left w:type="dxa" w:w="120"/>
              <w:bottom w:type="dxa" w:w="80"/>
              <w:right w:type="dxa" w:w="120"/>
            </w:tcMar>
          </w:tcPr>
          <w:p>
            <w:r>
              <w:rPr>
                <w:b w:val="false"/>
                <w:bCs w:val="false"/>
                <w:sz w:val="19"/>
                <w:szCs w:val="19"/>
              </w:rPr>
              <w:t xml:space="preserve">Proyecto · Simulación profesional · Investigación con defensa ante otros · Experimento abierto con datos propios</w:t>
            </w:r>
          </w:p>
        </w:tc>
      </w:tr>
    </w:tbl>
    <w:p>
      <w:pPr>
        <w:pStyle w:val="Heading2"/>
        <w:spacing w:after="100" w:before="240"/>
      </w:pPr>
      <w:r>
        <w:rPr>
          <w:color w:val="1F4E79"/>
        </w:rPr>
        <w:t xml:space="preserve">El techo de los instrumentos más usados</w:t>
      </w:r>
    </w:p>
    <w:p>
      <w:pPr>
        <w:spacing w:after="120"/>
      </w:pPr>
      <w:r>
        <w:rPr>
          <w:b w:val="false"/>
          <w:bCs w:val="false"/>
          <w:i w:val="false"/>
          <w:iCs w:val="false"/>
        </w:rPr>
        <w:t xml:space="preserve">Cada instrumento puede evidenciar hasta cierto nivel y no más arriba, por mucho que el enunciado prometa otra cosa.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CE6F1" w:val="clear"/>
            <w:tcMar>
              <w:top w:type="dxa" w:w="80"/>
              <w:left w:type="dxa" w:w="120"/>
              <w:bottom w:type="dxa" w:w="80"/>
              <w:right w:type="dxa" w:w="120"/>
            </w:tcMar>
          </w:tcPr>
          <w:p>
            <w:r>
              <w:rPr>
                <w:b/>
                <w:bCs/>
                <w:sz w:val="19"/>
                <w:szCs w:val="19"/>
              </w:rPr>
              <w:t xml:space="preserve">Instrumento</w:t>
            </w:r>
          </w:p>
        </w:tc>
        <w:tc>
          <w:tcPr>
            <w:tcW w:type="dxa" w:w="2000"/>
            <w:shd w:fill="DCE6F1" w:val="clear"/>
            <w:tcMar>
              <w:top w:type="dxa" w:w="80"/>
              <w:left w:type="dxa" w:w="120"/>
              <w:bottom w:type="dxa" w:w="80"/>
              <w:right w:type="dxa" w:w="120"/>
            </w:tcMar>
          </w:tcPr>
          <w:p>
            <w:r>
              <w:rPr>
                <w:b/>
                <w:bCs/>
                <w:sz w:val="19"/>
                <w:szCs w:val="19"/>
              </w:rPr>
              <w:t xml:space="preserve">Techo</w:t>
            </w:r>
          </w:p>
        </w:tc>
        <w:tc>
          <w:tcPr>
            <w:tcW w:type="dxa" w:w="4600"/>
            <w:shd w:fill="DCE6F1" w:val="clear"/>
            <w:tcMar>
              <w:top w:type="dxa" w:w="80"/>
              <w:left w:type="dxa" w:w="120"/>
              <w:bottom w:type="dxa" w:w="80"/>
              <w:right w:type="dxa" w:w="120"/>
            </w:tcMar>
          </w:tcPr>
          <w:p>
            <w:r>
              <w:rPr>
                <w:b/>
                <w:bCs/>
                <w:sz w:val="19"/>
                <w:szCs w:val="19"/>
              </w:rPr>
              <w:t xml:space="preserve">Por qué</w:t>
            </w:r>
          </w:p>
        </w:tc>
      </w:tr>
      <w:tr>
        <w:tc>
          <w:tcPr>
            <w:tcW w:type="dxa" w:w="2600"/>
            <w:tcMar>
              <w:top w:type="dxa" w:w="80"/>
              <w:left w:type="dxa" w:w="120"/>
              <w:bottom w:type="dxa" w:w="80"/>
              <w:right w:type="dxa" w:w="120"/>
            </w:tcMar>
          </w:tcPr>
          <w:p>
            <w:r>
              <w:rPr>
                <w:b w:val="false"/>
                <w:bCs w:val="false"/>
                <w:sz w:val="19"/>
                <w:szCs w:val="19"/>
              </w:rPr>
              <w:t xml:space="preserve">Opción múltiple</w:t>
            </w:r>
          </w:p>
        </w:tc>
        <w:tc>
          <w:tcPr>
            <w:tcW w:type="dxa" w:w="2000"/>
            <w:tcMar>
              <w:top w:type="dxa" w:w="80"/>
              <w:left w:type="dxa" w:w="120"/>
              <w:bottom w:type="dxa" w:w="80"/>
              <w:right w:type="dxa" w:w="120"/>
            </w:tcMar>
          </w:tcPr>
          <w:p>
            <w:r>
              <w:rPr>
                <w:b w:val="false"/>
                <w:bCs w:val="false"/>
                <w:sz w:val="19"/>
                <w:szCs w:val="19"/>
              </w:rPr>
              <w:t xml:space="preserve">Nivel 1 (con esfuerzo, 2)</w:t>
            </w:r>
          </w:p>
        </w:tc>
        <w:tc>
          <w:tcPr>
            <w:tcW w:type="dxa" w:w="4600"/>
            <w:tcMar>
              <w:top w:type="dxa" w:w="80"/>
              <w:left w:type="dxa" w:w="120"/>
              <w:bottom w:type="dxa" w:w="80"/>
              <w:right w:type="dxa" w:w="120"/>
            </w:tcMar>
          </w:tcPr>
          <w:p>
            <w:r>
              <w:rPr>
                <w:b w:val="false"/>
                <w:bCs w:val="false"/>
                <w:sz w:val="19"/>
                <w:szCs w:val="19"/>
              </w:rPr>
              <w:t xml:space="preserve">El estudiante elige, no produce. Nunca puede evidenciar nivel 4.</w:t>
            </w:r>
          </w:p>
        </w:tc>
      </w:tr>
      <w:tr>
        <w:tc>
          <w:tcPr>
            <w:tcW w:type="dxa" w:w="2600"/>
            <w:tcMar>
              <w:top w:type="dxa" w:w="80"/>
              <w:left w:type="dxa" w:w="120"/>
              <w:bottom w:type="dxa" w:w="80"/>
              <w:right w:type="dxa" w:w="120"/>
            </w:tcMar>
          </w:tcPr>
          <w:p>
            <w:r>
              <w:rPr>
                <w:b w:val="false"/>
                <w:bCs w:val="false"/>
                <w:sz w:val="19"/>
                <w:szCs w:val="19"/>
              </w:rPr>
              <w:t xml:space="preserve">Verdadero y falso</w:t>
            </w:r>
          </w:p>
        </w:tc>
        <w:tc>
          <w:tcPr>
            <w:tcW w:type="dxa" w:w="2000"/>
            <w:tcMar>
              <w:top w:type="dxa" w:w="80"/>
              <w:left w:type="dxa" w:w="120"/>
              <w:bottom w:type="dxa" w:w="80"/>
              <w:right w:type="dxa" w:w="120"/>
            </w:tcMar>
          </w:tcPr>
          <w:p>
            <w:r>
              <w:rPr>
                <w:b w:val="false"/>
                <w:bCs w:val="false"/>
                <w:sz w:val="19"/>
                <w:szCs w:val="19"/>
              </w:rPr>
              <w:t xml:space="preserve">Nivel 1</w:t>
            </w:r>
          </w:p>
        </w:tc>
        <w:tc>
          <w:tcPr>
            <w:tcW w:type="dxa" w:w="4600"/>
            <w:tcMar>
              <w:top w:type="dxa" w:w="80"/>
              <w:left w:type="dxa" w:w="120"/>
              <w:bottom w:type="dxa" w:w="80"/>
              <w:right w:type="dxa" w:w="120"/>
            </w:tcMar>
          </w:tcPr>
          <w:p>
            <w:r>
              <w:rPr>
                <w:b w:val="false"/>
                <w:bCs w:val="false"/>
                <w:sz w:val="19"/>
                <w:szCs w:val="19"/>
              </w:rPr>
              <w:t xml:space="preserve">Además, la mitad de los aciertos pueden ser azar.</w:t>
            </w:r>
          </w:p>
        </w:tc>
      </w:tr>
      <w:tr>
        <w:tc>
          <w:tcPr>
            <w:tcW w:type="dxa" w:w="2600"/>
            <w:tcMar>
              <w:top w:type="dxa" w:w="80"/>
              <w:left w:type="dxa" w:w="120"/>
              <w:bottom w:type="dxa" w:w="80"/>
              <w:right w:type="dxa" w:w="120"/>
            </w:tcMar>
          </w:tcPr>
          <w:p>
            <w:r>
              <w:rPr>
                <w:b w:val="false"/>
                <w:bCs w:val="false"/>
                <w:sz w:val="19"/>
                <w:szCs w:val="19"/>
              </w:rPr>
              <w:t xml:space="preserve">Resumen o parafraseo</w:t>
            </w:r>
          </w:p>
        </w:tc>
        <w:tc>
          <w:tcPr>
            <w:tcW w:type="dxa" w:w="2000"/>
            <w:tcMar>
              <w:top w:type="dxa" w:w="80"/>
              <w:left w:type="dxa" w:w="120"/>
              <w:bottom w:type="dxa" w:w="80"/>
              <w:right w:type="dxa" w:w="120"/>
            </w:tcMar>
          </w:tcPr>
          <w:p>
            <w:r>
              <w:rPr>
                <w:b w:val="false"/>
                <w:bCs w:val="false"/>
                <w:sz w:val="19"/>
                <w:szCs w:val="19"/>
              </w:rPr>
              <w:t xml:space="preserve">Nivel 2</w:t>
            </w:r>
          </w:p>
        </w:tc>
        <w:tc>
          <w:tcPr>
            <w:tcW w:type="dxa" w:w="4600"/>
            <w:tcMar>
              <w:top w:type="dxa" w:w="80"/>
              <w:left w:type="dxa" w:w="120"/>
              <w:bottom w:type="dxa" w:w="80"/>
              <w:right w:type="dxa" w:w="120"/>
            </w:tcMar>
          </w:tcPr>
          <w:p>
            <w:r>
              <w:rPr>
                <w:b w:val="false"/>
                <w:bCs w:val="false"/>
                <w:sz w:val="19"/>
                <w:szCs w:val="19"/>
              </w:rPr>
              <w:t xml:space="preserve">Transforma el contenido, pero no llega a nada que no estuviera dicho.</w:t>
            </w:r>
          </w:p>
        </w:tc>
      </w:tr>
      <w:tr>
        <w:tc>
          <w:tcPr>
            <w:tcW w:type="dxa" w:w="2600"/>
            <w:tcMar>
              <w:top w:type="dxa" w:w="80"/>
              <w:left w:type="dxa" w:w="120"/>
              <w:bottom w:type="dxa" w:w="80"/>
              <w:right w:type="dxa" w:w="120"/>
            </w:tcMar>
          </w:tcPr>
          <w:p>
            <w:r>
              <w:rPr>
                <w:b w:val="false"/>
                <w:bCs w:val="false"/>
                <w:sz w:val="19"/>
                <w:szCs w:val="19"/>
              </w:rPr>
              <w:t xml:space="preserve">Mapa conceptual</w:t>
            </w:r>
          </w:p>
        </w:tc>
        <w:tc>
          <w:tcPr>
            <w:tcW w:type="dxa" w:w="2000"/>
            <w:tcMar>
              <w:top w:type="dxa" w:w="80"/>
              <w:left w:type="dxa" w:w="120"/>
              <w:bottom w:type="dxa" w:w="80"/>
              <w:right w:type="dxa" w:w="120"/>
            </w:tcMar>
          </w:tcPr>
          <w:p>
            <w:r>
              <w:rPr>
                <w:b w:val="false"/>
                <w:bCs w:val="false"/>
                <w:sz w:val="19"/>
                <w:szCs w:val="19"/>
              </w:rPr>
              <w:t xml:space="preserve">Nivel 2</w:t>
            </w:r>
          </w:p>
        </w:tc>
        <w:tc>
          <w:tcPr>
            <w:tcW w:type="dxa" w:w="4600"/>
            <w:tcMar>
              <w:top w:type="dxa" w:w="80"/>
              <w:left w:type="dxa" w:w="120"/>
              <w:bottom w:type="dxa" w:w="80"/>
              <w:right w:type="dxa" w:w="120"/>
            </w:tcMar>
          </w:tcPr>
          <w:p>
            <w:r>
              <w:rPr>
                <w:b w:val="false"/>
                <w:bCs w:val="false"/>
                <w:sz w:val="19"/>
                <w:szCs w:val="19"/>
              </w:rPr>
              <w:t xml:space="preserve">Traduce a otro formato. Sube a nivel 3 solo si el estudiante debe justificar la jerarquía que eligió.</w:t>
            </w:r>
          </w:p>
        </w:tc>
      </w:tr>
      <w:tr>
        <w:tc>
          <w:tcPr>
            <w:tcW w:type="dxa" w:w="2600"/>
            <w:tcMar>
              <w:top w:type="dxa" w:w="80"/>
              <w:left w:type="dxa" w:w="120"/>
              <w:bottom w:type="dxa" w:w="80"/>
              <w:right w:type="dxa" w:w="120"/>
            </w:tcMar>
          </w:tcPr>
          <w:p>
            <w:r>
              <w:rPr>
                <w:b w:val="false"/>
                <w:bCs w:val="false"/>
                <w:sz w:val="19"/>
                <w:szCs w:val="19"/>
              </w:rPr>
              <w:t xml:space="preserve">Cuestionario de respuesta corta</w:t>
            </w:r>
          </w:p>
        </w:tc>
        <w:tc>
          <w:tcPr>
            <w:tcW w:type="dxa" w:w="2000"/>
            <w:tcMar>
              <w:top w:type="dxa" w:w="80"/>
              <w:left w:type="dxa" w:w="120"/>
              <w:bottom w:type="dxa" w:w="80"/>
              <w:right w:type="dxa" w:w="120"/>
            </w:tcMar>
          </w:tcPr>
          <w:p>
            <w:r>
              <w:rPr>
                <w:b w:val="false"/>
                <w:bCs w:val="false"/>
                <w:sz w:val="19"/>
                <w:szCs w:val="19"/>
              </w:rPr>
              <w:t xml:space="preserve">Nivel 1–2</w:t>
            </w:r>
          </w:p>
        </w:tc>
        <w:tc>
          <w:tcPr>
            <w:tcW w:type="dxa" w:w="4600"/>
            <w:tcMar>
              <w:top w:type="dxa" w:w="80"/>
              <w:left w:type="dxa" w:w="120"/>
              <w:bottom w:type="dxa" w:w="80"/>
              <w:right w:type="dxa" w:w="120"/>
            </w:tcMar>
          </w:tcPr>
          <w:p>
            <w:r>
              <w:rPr>
                <w:b w:val="false"/>
                <w:bCs w:val="false"/>
                <w:sz w:val="19"/>
                <w:szCs w:val="19"/>
              </w:rPr>
              <w:t xml:space="preserve">Depende de si pide el dato o la explicación con palabras propias.</w:t>
            </w:r>
          </w:p>
        </w:tc>
      </w:tr>
      <w:tr>
        <w:tc>
          <w:tcPr>
            <w:tcW w:type="dxa" w:w="2600"/>
            <w:tcMar>
              <w:top w:type="dxa" w:w="80"/>
              <w:left w:type="dxa" w:w="120"/>
              <w:bottom w:type="dxa" w:w="80"/>
              <w:right w:type="dxa" w:w="120"/>
            </w:tcMar>
          </w:tcPr>
          <w:p>
            <w:r>
              <w:rPr>
                <w:b w:val="false"/>
                <w:bCs w:val="false"/>
                <w:sz w:val="19"/>
                <w:szCs w:val="19"/>
              </w:rPr>
              <w:t xml:space="preserve">Estudio de caso</w:t>
            </w:r>
          </w:p>
        </w:tc>
        <w:tc>
          <w:tcPr>
            <w:tcW w:type="dxa" w:w="2000"/>
            <w:tcMar>
              <w:top w:type="dxa" w:w="80"/>
              <w:left w:type="dxa" w:w="120"/>
              <w:bottom w:type="dxa" w:w="80"/>
              <w:right w:type="dxa" w:w="120"/>
            </w:tcMar>
          </w:tcPr>
          <w:p>
            <w:r>
              <w:rPr>
                <w:b w:val="false"/>
                <w:bCs w:val="false"/>
                <w:sz w:val="19"/>
                <w:szCs w:val="19"/>
              </w:rPr>
              <w:t xml:space="preserve">Nivel 3</w:t>
            </w:r>
          </w:p>
        </w:tc>
        <w:tc>
          <w:tcPr>
            <w:tcW w:type="dxa" w:w="4600"/>
            <w:tcMar>
              <w:top w:type="dxa" w:w="80"/>
              <w:left w:type="dxa" w:w="120"/>
              <w:bottom w:type="dxa" w:w="80"/>
              <w:right w:type="dxa" w:w="120"/>
            </w:tcMar>
          </w:tcPr>
          <w:p>
            <w:r>
              <w:rPr>
                <w:b w:val="false"/>
                <w:bCs w:val="false"/>
                <w:sz w:val="19"/>
                <w:szCs w:val="19"/>
              </w:rPr>
              <w:t xml:space="preserve">Sube a 4 si hay que decidir con criterios y defender la decisión.</w:t>
            </w:r>
          </w:p>
        </w:tc>
      </w:tr>
      <w:tr>
        <w:tc>
          <w:tcPr>
            <w:tcW w:type="dxa" w:w="2600"/>
            <w:tcMar>
              <w:top w:type="dxa" w:w="80"/>
              <w:left w:type="dxa" w:w="120"/>
              <w:bottom w:type="dxa" w:w="80"/>
              <w:right w:type="dxa" w:w="120"/>
            </w:tcMar>
          </w:tcPr>
          <w:p>
            <w:r>
              <w:rPr>
                <w:b w:val="false"/>
                <w:bCs w:val="false"/>
                <w:sz w:val="19"/>
                <w:szCs w:val="19"/>
              </w:rPr>
              <w:t xml:space="preserve">Debate con criterios</w:t>
            </w:r>
          </w:p>
        </w:tc>
        <w:tc>
          <w:tcPr>
            <w:tcW w:type="dxa" w:w="2000"/>
            <w:tcMar>
              <w:top w:type="dxa" w:w="80"/>
              <w:left w:type="dxa" w:w="120"/>
              <w:bottom w:type="dxa" w:w="80"/>
              <w:right w:type="dxa" w:w="120"/>
            </w:tcMar>
          </w:tcPr>
          <w:p>
            <w:r>
              <w:rPr>
                <w:b w:val="false"/>
                <w:bCs w:val="false"/>
                <w:sz w:val="19"/>
                <w:szCs w:val="19"/>
              </w:rPr>
              <w:t xml:space="preserve">Nivel 3–4</w:t>
            </w:r>
          </w:p>
        </w:tc>
        <w:tc>
          <w:tcPr>
            <w:tcW w:type="dxa" w:w="4600"/>
            <w:tcMar>
              <w:top w:type="dxa" w:w="80"/>
              <w:left w:type="dxa" w:w="120"/>
              <w:bottom w:type="dxa" w:w="80"/>
              <w:right w:type="dxa" w:w="120"/>
            </w:tcMar>
          </w:tcPr>
          <w:p>
            <w:r>
              <w:rPr>
                <w:b w:val="false"/>
                <w:bCs w:val="false"/>
                <w:sz w:val="19"/>
                <w:szCs w:val="19"/>
              </w:rPr>
              <w:t xml:space="preserve">Llega a 4 cuando hay varias posiciones defendibles y hay que sostener una.</w:t>
            </w:r>
          </w:p>
        </w:tc>
      </w:tr>
      <w:tr>
        <w:tc>
          <w:tcPr>
            <w:tcW w:type="dxa" w:w="2600"/>
            <w:tcMar>
              <w:top w:type="dxa" w:w="80"/>
              <w:left w:type="dxa" w:w="120"/>
              <w:bottom w:type="dxa" w:w="80"/>
              <w:right w:type="dxa" w:w="120"/>
            </w:tcMar>
          </w:tcPr>
          <w:p>
            <w:r>
              <w:rPr>
                <w:b w:val="false"/>
                <w:bCs w:val="false"/>
                <w:sz w:val="19"/>
                <w:szCs w:val="19"/>
              </w:rPr>
              <w:t xml:space="preserve">Proyecto con restricción</w:t>
            </w:r>
          </w:p>
        </w:tc>
        <w:tc>
          <w:tcPr>
            <w:tcW w:type="dxa" w:w="2000"/>
            <w:tcMar>
              <w:top w:type="dxa" w:w="80"/>
              <w:left w:type="dxa" w:w="120"/>
              <w:bottom w:type="dxa" w:w="80"/>
              <w:right w:type="dxa" w:w="120"/>
            </w:tcMar>
          </w:tcPr>
          <w:p>
            <w:r>
              <w:rPr>
                <w:b w:val="false"/>
                <w:bCs w:val="false"/>
                <w:sz w:val="19"/>
                <w:szCs w:val="19"/>
              </w:rPr>
              <w:t xml:space="preserve">Nivel 4</w:t>
            </w:r>
          </w:p>
        </w:tc>
        <w:tc>
          <w:tcPr>
            <w:tcW w:type="dxa" w:w="4600"/>
            <w:tcMar>
              <w:top w:type="dxa" w:w="80"/>
              <w:left w:type="dxa" w:w="120"/>
              <w:bottom w:type="dxa" w:w="80"/>
              <w:right w:type="dxa" w:w="120"/>
            </w:tcMar>
          </w:tcPr>
          <w:p>
            <w:r>
              <w:rPr>
                <w:b w:val="false"/>
                <w:bCs w:val="false"/>
                <w:sz w:val="19"/>
                <w:szCs w:val="19"/>
              </w:rPr>
              <w:t xml:space="preserve">Meta, obstáculo y producto propio. Es el único que llega arriba con naturalidad.</w:t>
            </w:r>
          </w:p>
        </w:tc>
      </w:tr>
    </w:tbl>
    <w:p>
      <w:pPr>
        <w:pStyle w:val="Heading2"/>
        <w:spacing w:after="100" w:before="240"/>
      </w:pPr>
      <w:r>
        <w:rPr>
          <w:color w:val="1F4E79"/>
        </w:rPr>
        <w:t xml:space="preserve">Los dos desajustes</w:t>
      </w:r>
    </w:p>
    <w:p>
      <w:pPr>
        <w:pStyle w:val="Heading3"/>
        <w:spacing w:after="80" w:before="180"/>
      </w:pPr>
      <w:r>
        <w:rPr>
          <w:b/>
          <w:bCs/>
          <w:color w:val="595959"/>
        </w:rPr>
        <w:t xml:space="preserve">El caro: enseñar en niveles altos y evaluar en niveles bajos</w:t>
      </w:r>
    </w:p>
    <w:p>
      <w:pPr>
        <w:spacing w:after="120"/>
      </w:pPr>
      <w:r>
        <w:rPr>
          <w:b w:val="false"/>
          <w:bCs w:val="false"/>
          <w:i w:val="false"/>
          <w:iCs w:val="false"/>
        </w:rPr>
        <w:t xml:space="preserve">La clase fue rica, hubo discusión, hubo problemas abiertos, y el examen pregunta definiciones. Cuando eso pasa, los estudiantes aprenden algo que no queríamos enseñarles: que lo de la clase era el relleno y lo del examen era lo que contaba. Y ajustan su esfuerzo. No están siendo estratégicos por cinismo: están leyendo la señal que les mandamos.</w:t>
      </w:r>
    </w:p>
    <w:p>
      <w:pPr>
        <w:pStyle w:val="Heading3"/>
        <w:spacing w:after="80" w:before="180"/>
      </w:pPr>
      <w:r>
        <w:rPr>
          <w:b/>
          <w:bCs/>
          <w:color w:val="595959"/>
        </w:rPr>
        <w:t xml:space="preserve">El inverso, que cuesta más ver</w:t>
      </w:r>
    </w:p>
    <w:p>
      <w:pPr>
        <w:spacing w:after="120"/>
      </w:pPr>
      <w:r>
        <w:rPr>
          <w:b w:val="false"/>
          <w:bCs w:val="false"/>
          <w:i w:val="false"/>
          <w:iCs w:val="false"/>
        </w:rPr>
        <w:t xml:space="preserve">Pedir un proyecto de tres semanas para evidenciar que el estudiante recuerda unas definiciones. Eso no es exigente, es caro. Un nivel 1 se evidencia bien con un instrumento de nivel 1.</w:t>
      </w:r>
    </w:p>
    <w:p>
      <w:pPr>
        <w:pBdr>
          <w:left w:val="single" w:color="C99A1E" w:sz="18"/>
        </w:pBdr>
        <w:spacing w:after="200" w:before="120"/>
        <w:ind w:left="200"/>
      </w:pPr>
      <w:r>
        <w:rPr>
          <w:i/>
          <w:iCs/>
        </w:rPr>
        <w:t xml:space="preserve">Si el instrumento no puede llegar al nivel del objetivo, el objetivo NO está evaluado. No parcialmente: no está.</w:t>
      </w:r>
    </w:p>
    <w:p>
      <w:pPr>
        <w:pStyle w:val="Heading2"/>
        <w:spacing w:after="100" w:before="240"/>
      </w:pPr>
      <w:r>
        <w:rPr>
          <w:color w:val="1F4E79"/>
        </w:rPr>
        <w:t xml:space="preserve">Los suyos</w:t>
      </w:r>
    </w:p>
    <w:p>
      <w:pPr>
        <w:spacing w:after="120"/>
      </w:pPr>
      <w:r>
        <w:rPr>
          <w:b w:val="false"/>
          <w:bCs w:val="false"/>
          <w:i w:val="false"/>
          <w:iCs w:val="false"/>
        </w:rPr>
        <w:t xml:space="preserve">Marque los instrumentos que usa habitualmente y compruebe el techo contra el nivel de su objetivo más ambicioso.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DCE6F1" w:val="clear"/>
            <w:tcMar>
              <w:top w:type="dxa" w:w="80"/>
              <w:left w:type="dxa" w:w="120"/>
              <w:bottom w:type="dxa" w:w="80"/>
              <w:right w:type="dxa" w:w="120"/>
            </w:tcMar>
          </w:tcPr>
          <w:p>
            <w:r>
              <w:rPr>
                <w:b/>
                <w:bCs/>
                <w:sz w:val="19"/>
                <w:szCs w:val="19"/>
              </w:rPr>
              <w:t xml:space="preserve">Mi objetivo más ambicioso</w:t>
            </w:r>
          </w:p>
        </w:tc>
        <w:tc>
          <w:tcPr>
            <w:tcW w:type="dxa" w:w="1200"/>
            <w:shd w:fill="DCE6F1" w:val="clear"/>
            <w:tcMar>
              <w:top w:type="dxa" w:w="80"/>
              <w:left w:type="dxa" w:w="120"/>
              <w:bottom w:type="dxa" w:w="80"/>
              <w:right w:type="dxa" w:w="120"/>
            </w:tcMar>
          </w:tcPr>
          <w:p>
            <w:r>
              <w:rPr>
                <w:b/>
                <w:bCs/>
                <w:sz w:val="19"/>
                <w:szCs w:val="19"/>
              </w:rPr>
              <w:t xml:space="preserve">Nivel</w:t>
            </w:r>
          </w:p>
        </w:tc>
        <w:tc>
          <w:tcPr>
            <w:tcW w:type="dxa" w:w="2600"/>
            <w:shd w:fill="DCE6F1" w:val="clear"/>
            <w:tcMar>
              <w:top w:type="dxa" w:w="80"/>
              <w:left w:type="dxa" w:w="120"/>
              <w:bottom w:type="dxa" w:w="80"/>
              <w:right w:type="dxa" w:w="120"/>
            </w:tcMar>
          </w:tcPr>
          <w:p>
            <w:r>
              <w:rPr>
                <w:b/>
                <w:bCs/>
                <w:sz w:val="19"/>
                <w:szCs w:val="19"/>
              </w:rPr>
              <w:t xml:space="preserve">Con qué lo evalúo</w:t>
            </w:r>
          </w:p>
        </w:tc>
        <w:tc>
          <w:tcPr>
            <w:tcW w:type="dxa" w:w="2400"/>
            <w:shd w:fill="DCE6F1" w:val="clear"/>
            <w:tcMar>
              <w:top w:type="dxa" w:w="80"/>
              <w:left w:type="dxa" w:w="120"/>
              <w:bottom w:type="dxa" w:w="80"/>
              <w:right w:type="dxa" w:w="120"/>
            </w:tcMar>
          </w:tcPr>
          <w:p>
            <w:r>
              <w:rPr>
                <w:b/>
                <w:bCs/>
                <w:sz w:val="19"/>
                <w:szCs w:val="19"/>
              </w:rPr>
              <w:t xml:space="preserve">¿El instrumento llega?</w:t>
            </w:r>
          </w:p>
        </w:tc>
      </w:tr>
      <w:tr>
        <w:tc>
          <w:tcPr>
            <w:tcW w:type="dxa" w:w="3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0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2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6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Style w:val="Heading3"/>
        <w:spacing w:after="80" w:before="180"/>
      </w:pPr>
      <w:r>
        <w:rPr>
          <w:b/>
          <w:bCs/>
          <w:color w:val="595959"/>
        </w:rPr>
        <w:t xml:space="preserve">Una pregunta honesta</w:t>
      </w:r>
    </w:p>
    <w:p>
      <w:pPr>
        <w:spacing w:after="120"/>
      </w:pPr>
      <w:r>
        <w:rPr>
          <w:b w:val="false"/>
          <w:bCs w:val="false"/>
          <w:i w:val="false"/>
          <w:iCs w:val="false"/>
        </w:rPr>
        <w:t xml:space="preserve">Si el instrumento no llega, ¿qué cambiaría primero: el objetivo o el instrumento? No hay respuesta correcta. A veces lo honesto es bajar el objetivo.</w:t>
      </w:r>
    </w:p>
    <w:p>
      <w:pPr>
        <w:pBdr>
          <w:top w:val="single" w:color="BFBFBF" w:sz="6"/>
        </w:pBdr>
        <w:spacing w:before="320"/>
      </w:pPr>
      <w:r>
        <w:rPr>
          <w:i/>
          <w:iCs/>
          <w:color w:val="595959"/>
          <w:sz w:val="18"/>
          <w:szCs w:val="18"/>
        </w:rPr>
        <w:t xml:space="preserve">Material del curso “La Taxonomía de Marzano y Kendall: diseñar y evaluar por niveles de control consciente” · Módulo 6 · Qué evidencia cada nivel · Uso educativo.</w:t>
      </w:r>
    </w:p>
    <w:p>
      <w:pPr>
        <w:pageBreakBefore/>
      </w:pPr>
    </w:p>
    <w:p>
      <w:pPr>
        <w:spacing w:after="120"/>
      </w:pPr>
      <w:r>
        <w:rPr>
          <w:b w:val="false"/>
          <w:bCs w:val="false"/>
          <w:i w:val="false"/>
          <w:iCs w:val="false"/>
        </w:rPr>
        <w:t xml:space="preserve">Los niveles 1 a 4 producen algo que usted puede ver. Los niveles 5 y 6 ocurren dentro: no hay producto. Un estudiante puede estar vigilándose de forma impecable y no dejar ni una huella, y otro puede no vigilarse nada y entregar exactamente lo mismo.</w:t>
      </w:r>
    </w:p>
    <w:p>
      <w:pPr>
        <w:spacing w:after="120"/>
      </w:pPr>
      <w:r>
        <w:rPr>
          <w:b w:val="false"/>
          <w:bCs w:val="false"/>
          <w:i w:val="false"/>
          <w:iCs w:val="false"/>
        </w:rPr>
        <w:t xml:space="preserve">La salida es la del módulo 3, ahora convertida en evaluación: si el estudiante lo dice, se puede ver.</w:t>
      </w:r>
    </w:p>
    <w:p>
      <w:pPr>
        <w:pStyle w:val="Heading2"/>
        <w:spacing w:after="100" w:before="240"/>
      </w:pPr>
      <w:r>
        <w:rPr>
          <w:color w:val="1F4E79"/>
        </w:rPr>
        <w:t xml:space="preserve">Los tres instrumentos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CE6F1" w:val="clear"/>
            <w:tcMar>
              <w:top w:type="dxa" w:w="80"/>
              <w:left w:type="dxa" w:w="120"/>
              <w:bottom w:type="dxa" w:w="80"/>
              <w:right w:type="dxa" w:w="120"/>
            </w:tcMar>
          </w:tcPr>
          <w:p>
            <w:r>
              <w:rPr>
                <w:b/>
                <w:bCs/>
                <w:sz w:val="19"/>
                <w:szCs w:val="19"/>
              </w:rPr>
              <w:t xml:space="preserve">Instrumento</w:t>
            </w:r>
          </w:p>
        </w:tc>
        <w:tc>
          <w:tcPr>
            <w:tcW w:type="dxa" w:w="4200"/>
            <w:shd w:fill="DCE6F1" w:val="clear"/>
            <w:tcMar>
              <w:top w:type="dxa" w:w="80"/>
              <w:left w:type="dxa" w:w="120"/>
              <w:bottom w:type="dxa" w:w="80"/>
              <w:right w:type="dxa" w:w="120"/>
            </w:tcMar>
          </w:tcPr>
          <w:p>
            <w:r>
              <w:rPr>
                <w:b/>
                <w:bCs/>
                <w:sz w:val="19"/>
                <w:szCs w:val="19"/>
              </w:rPr>
              <w:t xml:space="preserve">Qué es</w:t>
            </w:r>
          </w:p>
        </w:tc>
        <w:tc>
          <w:tcPr>
            <w:tcW w:type="dxa" w:w="2800"/>
            <w:shd w:fill="DCE6F1" w:val="clear"/>
            <w:tcMar>
              <w:top w:type="dxa" w:w="80"/>
              <w:left w:type="dxa" w:w="120"/>
              <w:bottom w:type="dxa" w:w="80"/>
              <w:right w:type="dxa" w:w="120"/>
            </w:tcMar>
          </w:tcPr>
          <w:p>
            <w:r>
              <w:rPr>
                <w:b/>
                <w:bCs/>
                <w:sz w:val="19"/>
                <w:szCs w:val="19"/>
              </w:rPr>
              <w:t xml:space="preserve">Para qué sirve mejor</w:t>
            </w:r>
          </w:p>
        </w:tc>
      </w:tr>
      <w:tr>
        <w:tc>
          <w:tcPr>
            <w:tcW w:type="dxa" w:w="2200"/>
            <w:tcMar>
              <w:top w:type="dxa" w:w="80"/>
              <w:left w:type="dxa" w:w="120"/>
              <w:bottom w:type="dxa" w:w="80"/>
              <w:right w:type="dxa" w:w="120"/>
            </w:tcMar>
          </w:tcPr>
          <w:p>
            <w:r>
              <w:rPr>
                <w:b w:val="false"/>
                <w:bCs w:val="false"/>
                <w:sz w:val="19"/>
                <w:szCs w:val="19"/>
              </w:rPr>
              <w:t xml:space="preserve">Bitácora de aprendizaje</w:t>
            </w:r>
          </w:p>
        </w:tc>
        <w:tc>
          <w:tcPr>
            <w:tcW w:type="dxa" w:w="4200"/>
            <w:tcMar>
              <w:top w:type="dxa" w:w="80"/>
              <w:left w:type="dxa" w:w="120"/>
              <w:bottom w:type="dxa" w:w="80"/>
              <w:right w:type="dxa" w:w="120"/>
            </w:tcMar>
          </w:tcPr>
          <w:p>
            <w:r>
              <w:rPr>
                <w:b w:val="false"/>
                <w:bCs w:val="false"/>
                <w:sz w:val="19"/>
                <w:szCs w:val="19"/>
              </w:rPr>
              <w:t xml:space="preserve">Un cuaderno, documento o notas de voz donde el estudiante escribe periódicamente cómo va: qué se propuso, qué le funcionó, dónde se perdió.</w:t>
            </w:r>
          </w:p>
        </w:tc>
        <w:tc>
          <w:tcPr>
            <w:tcW w:type="dxa" w:w="2800"/>
            <w:tcMar>
              <w:top w:type="dxa" w:w="80"/>
              <w:left w:type="dxa" w:w="120"/>
              <w:bottom w:type="dxa" w:w="80"/>
              <w:right w:type="dxa" w:w="120"/>
            </w:tcMar>
          </w:tcPr>
          <w:p>
            <w:r>
              <w:rPr>
                <w:b w:val="false"/>
                <w:bCs w:val="false"/>
                <w:sz w:val="19"/>
                <w:szCs w:val="19"/>
              </w:rPr>
              <w:t xml:space="preserve">Lo más profundo y lo más lento. Sirve para ver el cambio a lo largo de semanas.</w:t>
            </w:r>
          </w:p>
        </w:tc>
      </w:tr>
      <w:tr>
        <w:tc>
          <w:tcPr>
            <w:tcW w:type="dxa" w:w="2200"/>
            <w:tcMar>
              <w:top w:type="dxa" w:w="80"/>
              <w:left w:type="dxa" w:w="120"/>
              <w:bottom w:type="dxa" w:w="80"/>
              <w:right w:type="dxa" w:w="120"/>
            </w:tcMar>
          </w:tcPr>
          <w:p>
            <w:r>
              <w:rPr>
                <w:b w:val="false"/>
                <w:bCs w:val="false"/>
                <w:sz w:val="19"/>
                <w:szCs w:val="19"/>
              </w:rPr>
              <w:t xml:space="preserve">Prompts escalonados</w:t>
            </w:r>
          </w:p>
        </w:tc>
        <w:tc>
          <w:tcPr>
            <w:tcW w:type="dxa" w:w="4200"/>
            <w:tcMar>
              <w:top w:type="dxa" w:w="80"/>
              <w:left w:type="dxa" w:w="120"/>
              <w:bottom w:type="dxa" w:w="80"/>
              <w:right w:type="dxa" w:w="120"/>
            </w:tcMar>
          </w:tcPr>
          <w:p>
            <w:r>
              <w:rPr>
                <w:b w:val="false"/>
                <w:bCs w:val="false"/>
                <w:sz w:val="19"/>
                <w:szCs w:val="19"/>
              </w:rPr>
              <w:t xml:space="preserve">Las preguntas cortas intercaladas en la tarea que construyó en el módulo 3.</w:t>
            </w:r>
          </w:p>
        </w:tc>
        <w:tc>
          <w:tcPr>
            <w:tcW w:type="dxa" w:w="2800"/>
            <w:tcMar>
              <w:top w:type="dxa" w:w="80"/>
              <w:left w:type="dxa" w:w="120"/>
              <w:bottom w:type="dxa" w:w="80"/>
              <w:right w:type="dxa" w:w="120"/>
            </w:tcMar>
          </w:tcPr>
          <w:p>
            <w:r>
              <w:rPr>
                <w:b w:val="false"/>
                <w:bCs w:val="false"/>
                <w:sz w:val="19"/>
                <w:szCs w:val="19"/>
              </w:rPr>
              <w:t xml:space="preserve">Cada respuesta es una evidencia fechada de un proceso concreto. Lo más rápido de implementar.</w:t>
            </w:r>
          </w:p>
        </w:tc>
      </w:tr>
      <w:tr>
        <w:tc>
          <w:tcPr>
            <w:tcW w:type="dxa" w:w="2200"/>
            <w:tcMar>
              <w:top w:type="dxa" w:w="80"/>
              <w:left w:type="dxa" w:w="120"/>
              <w:bottom w:type="dxa" w:w="80"/>
              <w:right w:type="dxa" w:w="120"/>
            </w:tcMar>
          </w:tcPr>
          <w:p>
            <w:r>
              <w:rPr>
                <w:b w:val="false"/>
                <w:bCs w:val="false"/>
                <w:sz w:val="19"/>
                <w:szCs w:val="19"/>
              </w:rPr>
              <w:t xml:space="preserve">Escala de autoeficacia</w:t>
            </w:r>
          </w:p>
        </w:tc>
        <w:tc>
          <w:tcPr>
            <w:tcW w:type="dxa" w:w="4200"/>
            <w:tcMar>
              <w:top w:type="dxa" w:w="80"/>
              <w:left w:type="dxa" w:w="120"/>
              <w:bottom w:type="dxa" w:w="80"/>
              <w:right w:type="dxa" w:w="120"/>
            </w:tcMar>
          </w:tcPr>
          <w:p>
            <w:r>
              <w:rPr>
                <w:b w:val="false"/>
                <w:bCs w:val="false"/>
                <w:sz w:val="19"/>
                <w:szCs w:val="19"/>
              </w:rPr>
              <w:t xml:space="preserve">Un cuestionario breve de acuerdo/desacuerdo sobre las creencias del estudiante respecto a su capacidad en la materia.</w:t>
            </w:r>
          </w:p>
        </w:tc>
        <w:tc>
          <w:tcPr>
            <w:tcW w:type="dxa" w:w="2800"/>
            <w:tcMar>
              <w:top w:type="dxa" w:w="80"/>
              <w:left w:type="dxa" w:w="120"/>
              <w:bottom w:type="dxa" w:w="80"/>
              <w:right w:type="dxa" w:w="120"/>
            </w:tcMar>
          </w:tcPr>
          <w:p>
            <w:r>
              <w:rPr>
                <w:b w:val="false"/>
                <w:bCs w:val="false"/>
                <w:sz w:val="19"/>
                <w:szCs w:val="19"/>
              </w:rPr>
              <w:t xml:space="preserve">Sobre todo para el nivel 6. Una sola aplicación dice poco; dos, separadas por meses, dicen mucho.</w:t>
            </w:r>
          </w:p>
        </w:tc>
      </w:tr>
    </w:tbl>
    <w:p>
      <w:pPr>
        <w:pStyle w:val="Heading2"/>
        <w:spacing w:after="100" w:before="240"/>
      </w:pPr>
      <w:r>
        <w:rPr>
          <w:color w:val="1F4E79"/>
        </w:rPr>
        <w:t xml:space="preserve">Un modelo de cada uno, listo para adaptar</w:t>
      </w:r>
    </w:p>
    <w:p>
      <w:pPr>
        <w:pStyle w:val="Heading3"/>
        <w:spacing w:after="80" w:before="180"/>
      </w:pPr>
      <w:r>
        <w:rPr>
          <w:b/>
          <w:bCs/>
          <w:color w:val="595959"/>
        </w:rPr>
        <w:t xml:space="preserve">1 · Consigna de bitácora</w:t>
      </w:r>
    </w:p>
    <w:p>
      <w:pPr>
        <w:spacing w:after="120"/>
      </w:pPr>
      <w:r>
        <w:rPr>
          <w:b w:val="false"/>
          <w:bCs w:val="false"/>
          <w:i/>
          <w:iCs/>
        </w:rPr>
        <w:t xml:space="preserve">“Al terminar cada sesión de trabajo, escriba tres líneas: qué se propuso hoy, qué le funcionó y qué no, y qué va a hacer distinto la próxima vez. No importa la ortografía ni la extensión: importa que sea verdad.”</w:t>
      </w:r>
    </w:p>
    <w:p>
      <w:pPr>
        <w:pStyle w:val="Heading3"/>
        <w:spacing w:after="80" w:before="180"/>
      </w:pPr>
      <w:r>
        <w:rPr>
          <w:b/>
          <w:bCs/>
          <w:color w:val="595959"/>
        </w:rPr>
        <w:t xml:space="preserve">2 · Juego de prompts</w:t>
      </w:r>
    </w:p>
    <w:p>
      <w:pPr>
        <w:pStyle w:val="ListParagraph"/>
        <w:numPr>
          <w:ilvl w:val="0"/>
          <w:numId w:val="1"/>
        </w:numPr>
        <w:spacing w:after="80"/>
      </w:pPr>
      <w:r>
        <w:t xml:space="preserve">Antes: ¿Qué se propone lograr en esta sesión y en qué orden lo va a hacer?</w:t>
      </w:r>
    </w:p>
    <w:p>
      <w:pPr>
        <w:pStyle w:val="ListParagraph"/>
        <w:numPr>
          <w:ilvl w:val="0"/>
          <w:numId w:val="1"/>
        </w:numPr>
        <w:spacing w:after="80"/>
      </w:pPr>
      <w:r>
        <w:t xml:space="preserve">A la mitad: ¿Lo que está haciendo le está funcionando? Si va a seguir igual, escriba por qué.</w:t>
      </w:r>
    </w:p>
    <w:p>
      <w:pPr>
        <w:pStyle w:val="ListParagraph"/>
        <w:numPr>
          <w:ilvl w:val="0"/>
          <w:numId w:val="1"/>
        </w:numPr>
        <w:spacing w:after="80"/>
      </w:pPr>
      <w:r>
        <w:t xml:space="preserve">Tras lo difícil: Señale el punto exacto donde se sintió perdido.</w:t>
      </w:r>
    </w:p>
    <w:p>
      <w:pPr>
        <w:pStyle w:val="ListParagraph"/>
        <w:numPr>
          <w:ilvl w:val="0"/>
          <w:numId w:val="1"/>
        </w:numPr>
        <w:spacing w:after="80"/>
      </w:pPr>
      <w:r>
        <w:t xml:space="preserve">Antes de entregar: ¿Con qué comparó su trabajo para saber que está bien?</w:t>
      </w:r>
    </w:p>
    <w:p>
      <w:pPr>
        <w:pStyle w:val="Heading3"/>
        <w:spacing w:after="80" w:before="180"/>
      </w:pPr>
      <w:r>
        <w:rPr>
          <w:b/>
          <w:bCs/>
          <w:color w:val="595959"/>
        </w:rPr>
        <w:t xml:space="preserve">3 · Escala de autoeficacia — ocho enunciados</w:t>
      </w:r>
    </w:p>
    <w:p>
      <w:pPr>
        <w:spacing w:after="120"/>
      </w:pPr>
      <w:r>
        <w:rPr>
          <w:b w:val="false"/>
          <w:bCs w:val="false"/>
          <w:i w:val="false"/>
          <w:iCs w:val="false"/>
        </w:rPr>
        <w:t xml:space="preserve">Responda de 1 (muy en desacuerdo) a 5 (muy de acuerdo). Aplíquela al empezar la unidad y otra vez al terminarla.</w:t>
      </w:r>
    </w:p>
    <w:p>
      <w:pPr>
        <w:spacing w:after="80"/>
        <w:ind w:left="360" w:hanging="260"/>
      </w:pPr>
      <w:r>
        <w:rPr>
          <w:b/>
          <w:bCs/>
        </w:rPr>
        <w:t xml:space="preserve">1. </w:t>
      </w:r>
      <w:r>
        <w:t xml:space="preserve">Si me esfuerzo, puedo mejorar en esta materia.</w:t>
      </w:r>
    </w:p>
    <w:p>
      <w:pPr>
        <w:spacing w:after="80"/>
        <w:ind w:left="360" w:hanging="260"/>
      </w:pPr>
      <w:r>
        <w:rPr>
          <w:b/>
          <w:bCs/>
        </w:rPr>
        <w:t xml:space="preserve">2. </w:t>
      </w:r>
      <w:r>
        <w:t xml:space="preserve">Cuando algo me sale mal aquí, suele ser porque no soy bueno para esto.</w:t>
      </w:r>
    </w:p>
    <w:p>
      <w:pPr>
        <w:spacing w:after="80"/>
        <w:ind w:left="360" w:hanging="260"/>
      </w:pPr>
      <w:r>
        <w:rPr>
          <w:b/>
          <w:bCs/>
        </w:rPr>
        <w:t xml:space="preserve">3. </w:t>
      </w:r>
      <w:r>
        <w:t xml:space="preserve">Sé qué hacer cuando me atasco en esta materia.</w:t>
      </w:r>
    </w:p>
    <w:p>
      <w:pPr>
        <w:spacing w:after="80"/>
        <w:ind w:left="360" w:hanging="260"/>
      </w:pPr>
      <w:r>
        <w:rPr>
          <w:b/>
          <w:bCs/>
        </w:rPr>
        <w:t xml:space="preserve">4. </w:t>
      </w:r>
      <w:r>
        <w:t xml:space="preserve">Lo que aprendo aquí me sirve fuera del colegio.</w:t>
      </w:r>
    </w:p>
    <w:p>
      <w:pPr>
        <w:spacing w:after="80"/>
        <w:ind w:left="360" w:hanging="260"/>
      </w:pPr>
      <w:r>
        <w:rPr>
          <w:b/>
          <w:bCs/>
        </w:rPr>
        <w:t xml:space="preserve">5. </w:t>
      </w:r>
      <w:r>
        <w:t xml:space="preserve">Cuando entrego algo, sé más o menos si está bien antes de que me lo califiquen.</w:t>
      </w:r>
    </w:p>
    <w:p>
      <w:pPr>
        <w:spacing w:after="80"/>
        <w:ind w:left="360" w:hanging="260"/>
      </w:pPr>
      <w:r>
        <w:rPr>
          <w:b/>
          <w:bCs/>
        </w:rPr>
        <w:t xml:space="preserve">6. </w:t>
      </w:r>
      <w:r>
        <w:t xml:space="preserve">Me da vergüenza preguntar en esta clase.</w:t>
      </w:r>
    </w:p>
    <w:p>
      <w:pPr>
        <w:spacing w:after="80"/>
        <w:ind w:left="360" w:hanging="260"/>
      </w:pPr>
      <w:r>
        <w:rPr>
          <w:b/>
          <w:bCs/>
        </w:rPr>
        <w:t xml:space="preserve">7. </w:t>
      </w:r>
      <w:r>
        <w:t xml:space="preserve">Si tuviera más tiempo, me iría mejor.</w:t>
      </w:r>
    </w:p>
    <w:p>
      <w:pPr>
        <w:spacing w:after="80"/>
        <w:ind w:left="360" w:hanging="260"/>
      </w:pPr>
      <w:r>
        <w:rPr>
          <w:b/>
          <w:bCs/>
        </w:rPr>
        <w:t xml:space="preserve">8. </w:t>
      </w:r>
      <w:r>
        <w:t xml:space="preserve">Me interesa lo que estamos viendo, aparte de la nota.</w:t>
      </w:r>
    </w:p>
    <w:p>
      <w:pPr>
        <w:pBdr>
          <w:left w:val="single" w:color="C99A1E" w:sz="18"/>
        </w:pBdr>
        <w:spacing w:after="200" w:before="120"/>
        <w:ind w:left="200"/>
      </w:pPr>
      <w:r>
        <w:rPr>
          <w:i/>
          <w:iCs/>
        </w:rPr>
        <w:t xml:space="preserve">Los enunciados 2 y 6 están formulados al revés a propósito: si todas las respuestas van en la misma dirección, el estudiante está respondiendo en piloto automático.</w:t>
      </w:r>
    </w:p>
    <w:p>
      <w:pPr>
        <w:pStyle w:val="Heading2"/>
        <w:spacing w:after="100" w:before="240"/>
      </w:pPr>
      <w:r>
        <w:rPr>
          <w:color w:val="1F4E79"/>
        </w:rPr>
        <w:t xml:space="preserve">La regla que cambia todo: esto NO se califica por correcto</w:t>
      </w:r>
    </w:p>
    <w:p>
      <w:pPr>
        <w:spacing w:after="120"/>
      </w:pPr>
      <w:r>
        <w:rPr>
          <w:b w:val="false"/>
          <w:bCs w:val="false"/>
          <w:i w:val="false"/>
          <w:iCs w:val="false"/>
        </w:rPr>
        <w:t xml:space="preserve">Cuando un estudiante escribe “no entendí nada de la segunda parte y me dio rabia”, eso no es una respuesta mala. Es una evidencia excelente de monitoreo de la claridad y de examen de la respuesta emocional. Es exactamente lo que queríamos que ocurriera.</w:t>
      </w:r>
    </w:p>
    <w:p>
      <w:pPr>
        <w:spacing w:after="120"/>
      </w:pPr>
      <w:r>
        <w:rPr>
          <w:b/>
          <w:bCs/>
          <w:i w:val="false"/>
          <w:iCs w:val="false"/>
        </w:rPr>
        <w:t xml:space="preserve">Si esa frase le baja la nota, el estudiante aprende en una sola vez que conviene mentir en la bitácora. Y a partir de ahí sus bitácoras dirán lo que usted quiere leer, y usted habrá perdido el único instrumento que tenía para ver lo invisible.</w:t>
      </w:r>
    </w:p>
    <w:p>
      <w:pPr>
        <w:pStyle w:val="Heading3"/>
        <w:spacing w:after="80" w:before="180"/>
      </w:pPr>
      <w:r>
        <w:rPr>
          <w:b/>
          <w:bCs/>
          <w:color w:val="595959"/>
        </w:rPr>
        <w:t xml:space="preserve">Lo que sí se puede valorar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DCE6F1" w:val="clear"/>
            <w:tcMar>
              <w:top w:type="dxa" w:w="80"/>
              <w:left w:type="dxa" w:w="120"/>
              <w:bottom w:type="dxa" w:w="80"/>
              <w:right w:type="dxa" w:w="120"/>
            </w:tcMar>
          </w:tcPr>
          <w:p>
            <w:r>
              <w:rPr>
                <w:b/>
                <w:bCs/>
                <w:sz w:val="19"/>
                <w:szCs w:val="19"/>
              </w:rPr>
              <w:t xml:space="preserve">Criterio</w:t>
            </w:r>
          </w:p>
        </w:tc>
        <w:tc>
          <w:tcPr>
            <w:tcW w:type="dxa" w:w="7000"/>
            <w:shd w:fill="DCE6F1" w:val="clear"/>
            <w:tcMar>
              <w:top w:type="dxa" w:w="80"/>
              <w:left w:type="dxa" w:w="120"/>
              <w:bottom w:type="dxa" w:w="80"/>
              <w:right w:type="dxa" w:w="120"/>
            </w:tcMar>
          </w:tcPr>
          <w:p>
            <w:r>
              <w:rPr>
                <w:b/>
                <w:bCs/>
                <w:sz w:val="19"/>
                <w:szCs w:val="19"/>
              </w:rPr>
              <w:t xml:space="preserve">Qué se mira</w:t>
            </w:r>
          </w:p>
        </w:tc>
      </w:tr>
      <w:tr>
        <w:tc>
          <w:tcPr>
            <w:tcW w:type="dxa" w:w="2200"/>
            <w:tcMar>
              <w:top w:type="dxa" w:w="80"/>
              <w:left w:type="dxa" w:w="120"/>
              <w:bottom w:type="dxa" w:w="80"/>
              <w:right w:type="dxa" w:w="120"/>
            </w:tcMar>
          </w:tcPr>
          <w:p>
            <w:r>
              <w:rPr>
                <w:b w:val="false"/>
                <w:bCs w:val="false"/>
                <w:sz w:val="19"/>
                <w:szCs w:val="19"/>
              </w:rPr>
              <w:t xml:space="preserve">Especificidad</w:t>
            </w:r>
          </w:p>
        </w:tc>
        <w:tc>
          <w:tcPr>
            <w:tcW w:type="dxa" w:w="7000"/>
            <w:tcMar>
              <w:top w:type="dxa" w:w="80"/>
              <w:left w:type="dxa" w:w="120"/>
              <w:bottom w:type="dxa" w:w="80"/>
              <w:right w:type="dxa" w:w="120"/>
            </w:tcMar>
          </w:tcPr>
          <w:p>
            <w:r>
              <w:rPr>
                <w:b w:val="false"/>
                <w:bCs w:val="false"/>
                <w:sz w:val="19"/>
                <w:szCs w:val="19"/>
              </w:rPr>
              <w:t xml:space="preserve">“Me perdí en el paso donde hay que despejar” es evidencia. “Me fue más o menos” no lo es.</w:t>
            </w:r>
          </w:p>
        </w:tc>
      </w:tr>
      <w:tr>
        <w:tc>
          <w:tcPr>
            <w:tcW w:type="dxa" w:w="2200"/>
            <w:tcMar>
              <w:top w:type="dxa" w:w="80"/>
              <w:left w:type="dxa" w:w="120"/>
              <w:bottom w:type="dxa" w:w="80"/>
              <w:right w:type="dxa" w:w="120"/>
            </w:tcMar>
          </w:tcPr>
          <w:p>
            <w:r>
              <w:rPr>
                <w:b w:val="false"/>
                <w:bCs w:val="false"/>
                <w:sz w:val="19"/>
                <w:szCs w:val="19"/>
              </w:rPr>
              <w:t xml:space="preserve">Honestidad verificable</w:t>
            </w:r>
          </w:p>
        </w:tc>
        <w:tc>
          <w:tcPr>
            <w:tcW w:type="dxa" w:w="7000"/>
            <w:tcMar>
              <w:top w:type="dxa" w:w="80"/>
              <w:left w:type="dxa" w:w="120"/>
              <w:bottom w:type="dxa" w:w="80"/>
              <w:right w:type="dxa" w:w="120"/>
            </w:tcMar>
          </w:tcPr>
          <w:p>
            <w:r>
              <w:rPr>
                <w:b w:val="false"/>
                <w:bCs w:val="false"/>
                <w:sz w:val="19"/>
                <w:szCs w:val="19"/>
              </w:rPr>
              <w:t xml:space="preserve">Una reflexión que no coincide con el trabajo entregado es una señal, no una falta.</w:t>
            </w:r>
          </w:p>
        </w:tc>
      </w:tr>
      <w:tr>
        <w:tc>
          <w:tcPr>
            <w:tcW w:type="dxa" w:w="2200"/>
            <w:tcMar>
              <w:top w:type="dxa" w:w="80"/>
              <w:left w:type="dxa" w:w="120"/>
              <w:bottom w:type="dxa" w:w="80"/>
              <w:right w:type="dxa" w:w="120"/>
            </w:tcMar>
          </w:tcPr>
          <w:p>
            <w:r>
              <w:rPr>
                <w:b w:val="false"/>
                <w:bCs w:val="false"/>
                <w:sz w:val="19"/>
                <w:szCs w:val="19"/>
              </w:rPr>
              <w:t xml:space="preserve">Consecuencia</w:t>
            </w:r>
          </w:p>
        </w:tc>
        <w:tc>
          <w:tcPr>
            <w:tcW w:type="dxa" w:w="7000"/>
            <w:tcMar>
              <w:top w:type="dxa" w:w="80"/>
              <w:left w:type="dxa" w:w="120"/>
              <w:bottom w:type="dxa" w:w="80"/>
              <w:right w:type="dxa" w:w="120"/>
            </w:tcMar>
          </w:tcPr>
          <w:p>
            <w:r>
              <w:rPr>
                <w:b w:val="false"/>
                <w:bCs w:val="false"/>
                <w:sz w:val="19"/>
                <w:szCs w:val="19"/>
              </w:rPr>
              <w:t xml:space="preserve">¿Produjo una decisión? La metacognición que no cambia nada es un comentario, no un monitoreo.</w:t>
            </w:r>
          </w:p>
        </w:tc>
      </w:tr>
    </w:tbl>
    <w:p>
      <w:pPr>
        <w:spacing w:after="120"/>
      </w:pPr>
      <w:r>
        <w:rPr>
          <w:b/>
          <w:bCs/>
          <w:i w:val="false"/>
          <w:iCs w:val="false"/>
        </w:rPr>
        <w:t xml:space="preserve">Se valora la calidad de la mirada, nunca lo que la mirada encontró.</w:t>
      </w:r>
    </w:p>
    <w:p>
      <w:pPr>
        <w:pStyle w:val="Heading2"/>
        <w:spacing w:after="100" w:before="240"/>
      </w:pPr>
      <w:r>
        <w:rPr>
          <w:color w:val="1F4E79"/>
        </w:rPr>
        <w:t xml:space="preserve">Elija uno</w:t>
      </w:r>
    </w:p>
    <w:p>
      <w:pPr>
        <w:spacing w:after="120"/>
      </w:pPr>
      <w:r>
        <w:rPr>
          <w:b w:val="false"/>
          <w:bCs w:val="false"/>
          <w:i w:val="false"/>
          <w:iCs w:val="false"/>
        </w:rPr>
        <w:t xml:space="preserve">De los tres instrumentos, elija UNO para su unidad. Los tres a la vez es demasiado.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CE6F1" w:val="clear"/>
            <w:tcMar>
              <w:top w:type="dxa" w:w="80"/>
              <w:left w:type="dxa" w:w="120"/>
              <w:bottom w:type="dxa" w:w="80"/>
              <w:right w:type="dxa" w:w="120"/>
            </w:tcMar>
          </w:tcPr>
          <w:p>
            <w:r>
              <w:rPr>
                <w:b/>
                <w:bCs/>
                <w:sz w:val="19"/>
                <w:szCs w:val="19"/>
              </w:rPr>
              <w:t xml:space="preserve">Instrumento elegido</w:t>
            </w:r>
          </w:p>
        </w:tc>
        <w:tc>
          <w:tcPr>
            <w:tcW w:type="dxa" w:w="4400"/>
            <w:shd w:fill="DCE6F1" w:val="clear"/>
            <w:tcMar>
              <w:top w:type="dxa" w:w="80"/>
              <w:left w:type="dxa" w:w="120"/>
              <w:bottom w:type="dxa" w:w="80"/>
              <w:right w:type="dxa" w:w="120"/>
            </w:tcMar>
          </w:tcPr>
          <w:p>
            <w:r>
              <w:rPr>
                <w:b/>
                <w:bCs/>
                <w:sz w:val="19"/>
                <w:szCs w:val="19"/>
              </w:rPr>
              <w:t xml:space="preserve">Cómo lo adapto a mi asignatura</w:t>
            </w:r>
          </w:p>
        </w:tc>
        <w:tc>
          <w:tcPr>
            <w:tcW w:type="dxa" w:w="2400"/>
            <w:shd w:fill="DCE6F1" w:val="clear"/>
            <w:tcMar>
              <w:top w:type="dxa" w:w="80"/>
              <w:left w:type="dxa" w:w="120"/>
              <w:bottom w:type="dxa" w:w="80"/>
              <w:right w:type="dxa" w:w="120"/>
            </w:tcMar>
          </w:tcPr>
          <w:p>
            <w:r>
              <w:rPr>
                <w:b/>
                <w:bCs/>
                <w:sz w:val="19"/>
                <w:szCs w:val="19"/>
              </w:rPr>
              <w:t xml:space="preserve">Cuándo lo aplico</w:t>
            </w:r>
          </w:p>
        </w:tc>
      </w:tr>
      <w:tr>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4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4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Bdr>
          <w:top w:val="single" w:color="BFBFBF" w:sz="6"/>
        </w:pBdr>
        <w:spacing w:before="320"/>
      </w:pPr>
      <w:r>
        <w:rPr>
          <w:i/>
          <w:iCs/>
          <w:color w:val="595959"/>
          <w:sz w:val="18"/>
          <w:szCs w:val="18"/>
        </w:rPr>
        <w:t xml:space="preserve">Material del curso “La Taxonomía de Marzano y Kendall: diseñar y evaluar por niveles de control consciente” · Módulo 6 · Instrumentos para lo invisible · Uso educativo.</w:t>
      </w:r>
    </w:p>
    <w:p>
      <w:pPr>
        <w:pageBreakBefore/>
      </w:pPr>
    </w:p>
    <w:p>
      <w:pPr>
        <w:pStyle w:val="Heading2"/>
        <w:spacing w:after="100" w:before="240"/>
      </w:pPr>
      <w:r>
        <w:rPr>
          <w:color w:val="1F4E79"/>
        </w:rPr>
        <w:t xml:space="preserve">Qué hace mal el promedio</w:t>
      </w:r>
    </w:p>
    <w:p>
      <w:pPr>
        <w:spacing w:after="120"/>
      </w:pPr>
      <w:r>
        <w:rPr>
          <w:b w:val="false"/>
          <w:bCs w:val="false"/>
          <w:i w:val="false"/>
          <w:iCs w:val="false"/>
        </w:rPr>
        <w:t xml:space="preserve">El promedio trata todas las entregas como si fueran la misma medición repetida. Y no lo son: son momentos distintos de un aprendizaje.</w:t>
      </w:r>
    </w:p>
    <w:p>
      <w:pPr>
        <w:spacing w:after="120"/>
      </w:pPr>
      <w:r>
        <w:rPr>
          <w:b w:val="false"/>
          <w:bCs w:val="false"/>
          <w:i w:val="false"/>
          <w:iCs w:val="false"/>
        </w:rPr>
        <w:t xml:space="preserve">Cuando se promedia, el error del principio —que es el momento en que el estudiante estaba aprendiendo— pesa igual que el logro del final, que es el momento en que ya aprendió. El resultado castiga exactamente lo que queríamos que ocurriera: intentar, equivocarse y corregir.</w:t>
      </w:r>
    </w:p>
    <w:p>
      <w:pPr>
        <w:pBdr>
          <w:left w:val="single" w:color="C99A1E" w:sz="18"/>
        </w:pBdr>
        <w:spacing w:after="200" w:before="120"/>
        <w:ind w:left="200"/>
      </w:pPr>
      <w:r>
        <w:rPr>
          <w:i/>
          <w:iCs/>
        </w:rPr>
        <w:t xml:space="preserve">Y produce un efecto perverso muy conocido: al estudiante que empezó mal le conviene NO ARRIESGAR el resto del curso, porque ya no puede recuperar la nota. El promedio premia la prudencia, no el aprendizaje.</w:t>
      </w:r>
    </w:p>
    <w:p>
      <w:pPr>
        <w:pStyle w:val="Heading2"/>
        <w:spacing w:after="100" w:before="240"/>
      </w:pPr>
      <w:r>
        <w:rPr>
          <w:color w:val="1F4E79"/>
        </w:rPr>
        <w:t xml:space="preserve">La escala completa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100"/>
            <w:shd w:fill="DCE6F1" w:val="clear"/>
            <w:tcMar>
              <w:top w:type="dxa" w:w="80"/>
              <w:left w:type="dxa" w:w="120"/>
              <w:bottom w:type="dxa" w:w="80"/>
              <w:right w:type="dxa" w:w="120"/>
            </w:tcMar>
          </w:tcPr>
          <w:p>
            <w:r>
              <w:rPr>
                <w:b/>
                <w:bCs/>
                <w:sz w:val="19"/>
                <w:szCs w:val="19"/>
              </w:rPr>
              <w:t xml:space="preserve">Puntaje</w:t>
            </w:r>
          </w:p>
        </w:tc>
        <w:tc>
          <w:tcPr>
            <w:tcW w:type="dxa" w:w="2600"/>
            <w:shd w:fill="DCE6F1" w:val="clear"/>
            <w:tcMar>
              <w:top w:type="dxa" w:w="80"/>
              <w:left w:type="dxa" w:w="120"/>
              <w:bottom w:type="dxa" w:w="80"/>
              <w:right w:type="dxa" w:w="120"/>
            </w:tcMar>
          </w:tcPr>
          <w:p>
            <w:r>
              <w:rPr>
                <w:b/>
                <w:bCs/>
                <w:sz w:val="19"/>
                <w:szCs w:val="19"/>
              </w:rPr>
              <w:t xml:space="preserve">Nivel</w:t>
            </w:r>
          </w:p>
        </w:tc>
        <w:tc>
          <w:tcPr>
            <w:tcW w:type="dxa" w:w="5500"/>
            <w:shd w:fill="DCE6F1" w:val="clear"/>
            <w:tcMar>
              <w:top w:type="dxa" w:w="80"/>
              <w:left w:type="dxa" w:w="120"/>
              <w:bottom w:type="dxa" w:w="80"/>
              <w:right w:type="dxa" w:w="120"/>
            </w:tcMar>
          </w:tcPr>
          <w:p>
            <w:r>
              <w:rPr>
                <w:b/>
                <w:bCs/>
                <w:sz w:val="19"/>
                <w:szCs w:val="19"/>
              </w:rPr>
              <w:t xml:space="preserve">Qué demuestra el estudiante</w:t>
            </w:r>
          </w:p>
        </w:tc>
      </w:tr>
      <w:tr>
        <w:tc>
          <w:tcPr>
            <w:tcW w:type="dxa" w:w="1100"/>
            <w:tcMar>
              <w:top w:type="dxa" w:w="80"/>
              <w:left w:type="dxa" w:w="120"/>
              <w:bottom w:type="dxa" w:w="80"/>
              <w:right w:type="dxa" w:w="120"/>
            </w:tcMar>
          </w:tcPr>
          <w:p>
            <w:r>
              <w:rPr>
                <w:b w:val="false"/>
                <w:bCs w:val="false"/>
                <w:sz w:val="19"/>
                <w:szCs w:val="19"/>
              </w:rPr>
              <w:t xml:space="preserve">4.0</w:t>
            </w:r>
          </w:p>
        </w:tc>
        <w:tc>
          <w:tcPr>
            <w:tcW w:type="dxa" w:w="2600"/>
            <w:tcMar>
              <w:top w:type="dxa" w:w="80"/>
              <w:left w:type="dxa" w:w="120"/>
              <w:bottom w:type="dxa" w:w="80"/>
              <w:right w:type="dxa" w:w="120"/>
            </w:tcMar>
          </w:tcPr>
          <w:p>
            <w:r>
              <w:rPr>
                <w:b w:val="false"/>
                <w:bCs w:val="false"/>
                <w:sz w:val="19"/>
                <w:szCs w:val="19"/>
              </w:rPr>
              <w:t xml:space="preserve">Excede el estándar</w:t>
            </w:r>
          </w:p>
        </w:tc>
        <w:tc>
          <w:tcPr>
            <w:tcW w:type="dxa" w:w="5500"/>
            <w:tcMar>
              <w:top w:type="dxa" w:w="80"/>
              <w:left w:type="dxa" w:w="120"/>
              <w:bottom w:type="dxa" w:w="80"/>
              <w:right w:type="dxa" w:w="120"/>
            </w:tcMar>
          </w:tcPr>
          <w:p>
            <w:r>
              <w:rPr>
                <w:b w:val="false"/>
                <w:bCs w:val="false"/>
                <w:sz w:val="19"/>
                <w:szCs w:val="19"/>
              </w:rPr>
              <w:t xml:space="preserve">Aplica lo aprendido de forma autónoma a situaciones nuevas, resuelve problemas complejos, propone predicciones fundamentadas.</w:t>
            </w:r>
          </w:p>
        </w:tc>
      </w:tr>
      <w:tr>
        <w:tc>
          <w:tcPr>
            <w:tcW w:type="dxa" w:w="1100"/>
            <w:tcMar>
              <w:top w:type="dxa" w:w="80"/>
              <w:left w:type="dxa" w:w="120"/>
              <w:bottom w:type="dxa" w:w="80"/>
              <w:right w:type="dxa" w:w="120"/>
            </w:tcMar>
          </w:tcPr>
          <w:p>
            <w:r>
              <w:rPr>
                <w:b w:val="false"/>
                <w:bCs w:val="false"/>
                <w:sz w:val="19"/>
                <w:szCs w:val="19"/>
              </w:rPr>
              <w:t xml:space="preserve">3.5</w:t>
            </w:r>
          </w:p>
        </w:tc>
        <w:tc>
          <w:tcPr>
            <w:tcW w:type="dxa" w:w="2600"/>
            <w:tcMar>
              <w:top w:type="dxa" w:w="80"/>
              <w:left w:type="dxa" w:w="120"/>
              <w:bottom w:type="dxa" w:w="80"/>
              <w:right w:type="dxa" w:w="120"/>
            </w:tcMar>
          </w:tcPr>
          <w:p>
            <w:r>
              <w:rPr>
                <w:b w:val="false"/>
                <w:bCs w:val="false"/>
                <w:sz w:val="19"/>
                <w:szCs w:val="19"/>
              </w:rPr>
              <w:t xml:space="preserve">Entre proficiente y excedente</w:t>
            </w:r>
          </w:p>
        </w:tc>
        <w:tc>
          <w:tcPr>
            <w:tcW w:type="dxa" w:w="5500"/>
            <w:tcMar>
              <w:top w:type="dxa" w:w="80"/>
              <w:left w:type="dxa" w:w="120"/>
              <w:bottom w:type="dxa" w:w="80"/>
              <w:right w:type="dxa" w:w="120"/>
            </w:tcMar>
          </w:tcPr>
          <w:p>
            <w:r>
              <w:rPr>
                <w:b w:val="false"/>
                <w:bCs w:val="false"/>
                <w:sz w:val="19"/>
                <w:szCs w:val="19"/>
              </w:rPr>
              <w:t xml:space="preserve">Domina el 3.0 de forma independiente y en ocasiones alcanza el 4.0.</w:t>
            </w:r>
          </w:p>
        </w:tc>
      </w:tr>
      <w:tr>
        <w:tc>
          <w:tcPr>
            <w:tcW w:type="dxa" w:w="1100"/>
            <w:tcMar>
              <w:top w:type="dxa" w:w="80"/>
              <w:left w:type="dxa" w:w="120"/>
              <w:bottom w:type="dxa" w:w="80"/>
              <w:right w:type="dxa" w:w="120"/>
            </w:tcMar>
          </w:tcPr>
          <w:p>
            <w:r>
              <w:rPr>
                <w:b w:val="false"/>
                <w:bCs w:val="false"/>
                <w:sz w:val="19"/>
                <w:szCs w:val="19"/>
              </w:rPr>
              <w:t xml:space="preserve">3.0</w:t>
            </w:r>
          </w:p>
        </w:tc>
        <w:tc>
          <w:tcPr>
            <w:tcW w:type="dxa" w:w="2600"/>
            <w:tcMar>
              <w:top w:type="dxa" w:w="80"/>
              <w:left w:type="dxa" w:w="120"/>
              <w:bottom w:type="dxa" w:w="80"/>
              <w:right w:type="dxa" w:w="120"/>
            </w:tcMar>
          </w:tcPr>
          <w:p>
            <w:r>
              <w:rPr>
                <w:b w:val="false"/>
                <w:bCs w:val="false"/>
                <w:sz w:val="19"/>
                <w:szCs w:val="19"/>
              </w:rPr>
              <w:t xml:space="preserve">CUMPLE EL ESTÁNDAR — LA META</w:t>
            </w:r>
          </w:p>
        </w:tc>
        <w:tc>
          <w:tcPr>
            <w:tcW w:type="dxa" w:w="5500"/>
            <w:tcMar>
              <w:top w:type="dxa" w:w="80"/>
              <w:left w:type="dxa" w:w="120"/>
              <w:bottom w:type="dxa" w:w="80"/>
              <w:right w:type="dxa" w:w="120"/>
            </w:tcMar>
          </w:tcPr>
          <w:p>
            <w:r>
              <w:rPr>
                <w:b w:val="false"/>
                <w:bCs w:val="false"/>
                <w:sz w:val="19"/>
                <w:szCs w:val="19"/>
              </w:rPr>
              <w:t xml:space="preserve">Domina todo lo esperado sin errores de fondo, de forma independiente. Todos deben poder alcanzarla.</w:t>
            </w:r>
          </w:p>
        </w:tc>
      </w:tr>
      <w:tr>
        <w:tc>
          <w:tcPr>
            <w:tcW w:type="dxa" w:w="1100"/>
            <w:tcMar>
              <w:top w:type="dxa" w:w="80"/>
              <w:left w:type="dxa" w:w="120"/>
              <w:bottom w:type="dxa" w:w="80"/>
              <w:right w:type="dxa" w:w="120"/>
            </w:tcMar>
          </w:tcPr>
          <w:p>
            <w:r>
              <w:rPr>
                <w:b w:val="false"/>
                <w:bCs w:val="false"/>
                <w:sz w:val="19"/>
                <w:szCs w:val="19"/>
              </w:rPr>
              <w:t xml:space="preserve">2.5</w:t>
            </w:r>
          </w:p>
        </w:tc>
        <w:tc>
          <w:tcPr>
            <w:tcW w:type="dxa" w:w="2600"/>
            <w:tcMar>
              <w:top w:type="dxa" w:w="80"/>
              <w:left w:type="dxa" w:w="120"/>
              <w:bottom w:type="dxa" w:w="80"/>
              <w:right w:type="dxa" w:w="120"/>
            </w:tcMar>
          </w:tcPr>
          <w:p>
            <w:r>
              <w:rPr>
                <w:b w:val="false"/>
                <w:bCs w:val="false"/>
                <w:sz w:val="19"/>
                <w:szCs w:val="19"/>
              </w:rPr>
              <w:t xml:space="preserve">Entre básico y proficiente</w:t>
            </w:r>
          </w:p>
        </w:tc>
        <w:tc>
          <w:tcPr>
            <w:tcW w:type="dxa" w:w="5500"/>
            <w:tcMar>
              <w:top w:type="dxa" w:w="80"/>
              <w:left w:type="dxa" w:w="120"/>
              <w:bottom w:type="dxa" w:w="80"/>
              <w:right w:type="dxa" w:w="120"/>
            </w:tcMar>
          </w:tcPr>
          <w:p>
            <w:r>
              <w:rPr>
                <w:b w:val="false"/>
                <w:bCs w:val="false"/>
                <w:sz w:val="19"/>
                <w:szCs w:val="19"/>
              </w:rPr>
              <w:t xml:space="preserve">Domina lo básico y se aproxima al nivel proficiente.</w:t>
            </w:r>
          </w:p>
        </w:tc>
      </w:tr>
      <w:tr>
        <w:tc>
          <w:tcPr>
            <w:tcW w:type="dxa" w:w="1100"/>
            <w:tcMar>
              <w:top w:type="dxa" w:w="80"/>
              <w:left w:type="dxa" w:w="120"/>
              <w:bottom w:type="dxa" w:w="80"/>
              <w:right w:type="dxa" w:w="120"/>
            </w:tcMar>
          </w:tcPr>
          <w:p>
            <w:r>
              <w:rPr>
                <w:b w:val="false"/>
                <w:bCs w:val="false"/>
                <w:sz w:val="19"/>
                <w:szCs w:val="19"/>
              </w:rPr>
              <w:t xml:space="preserve">2.0</w:t>
            </w:r>
          </w:p>
        </w:tc>
        <w:tc>
          <w:tcPr>
            <w:tcW w:type="dxa" w:w="2600"/>
            <w:tcMar>
              <w:top w:type="dxa" w:w="80"/>
              <w:left w:type="dxa" w:w="120"/>
              <w:bottom w:type="dxa" w:w="80"/>
              <w:right w:type="dxa" w:w="120"/>
            </w:tcMar>
          </w:tcPr>
          <w:p>
            <w:r>
              <w:rPr>
                <w:b w:val="false"/>
                <w:bCs w:val="false"/>
                <w:sz w:val="19"/>
                <w:szCs w:val="19"/>
              </w:rPr>
              <w:t xml:space="preserve">Básico</w:t>
            </w:r>
          </w:p>
        </w:tc>
        <w:tc>
          <w:tcPr>
            <w:tcW w:type="dxa" w:w="5500"/>
            <w:tcMar>
              <w:top w:type="dxa" w:w="80"/>
              <w:left w:type="dxa" w:w="120"/>
              <w:bottom w:type="dxa" w:w="80"/>
              <w:right w:type="dxa" w:w="120"/>
            </w:tcMar>
          </w:tcPr>
          <w:p>
            <w:r>
              <w:rPr>
                <w:b w:val="false"/>
                <w:bCs w:val="false"/>
                <w:sz w:val="19"/>
                <w:szCs w:val="19"/>
              </w:rPr>
              <w:t xml:space="preserve">Domina el vocabulario, los hechos y los procedimientos simples. No resuelve solo las tareas del 3.0.</w:t>
            </w:r>
          </w:p>
        </w:tc>
      </w:tr>
      <w:tr>
        <w:tc>
          <w:tcPr>
            <w:tcW w:type="dxa" w:w="1100"/>
            <w:tcMar>
              <w:top w:type="dxa" w:w="80"/>
              <w:left w:type="dxa" w:w="120"/>
              <w:bottom w:type="dxa" w:w="80"/>
              <w:right w:type="dxa" w:w="120"/>
            </w:tcMar>
          </w:tcPr>
          <w:p>
            <w:r>
              <w:rPr>
                <w:b w:val="false"/>
                <w:bCs w:val="false"/>
                <w:sz w:val="19"/>
                <w:szCs w:val="19"/>
              </w:rPr>
              <w:t xml:space="preserve">1.5</w:t>
            </w:r>
          </w:p>
        </w:tc>
        <w:tc>
          <w:tcPr>
            <w:tcW w:type="dxa" w:w="2600"/>
            <w:tcMar>
              <w:top w:type="dxa" w:w="80"/>
              <w:left w:type="dxa" w:w="120"/>
              <w:bottom w:type="dxa" w:w="80"/>
              <w:right w:type="dxa" w:w="120"/>
            </w:tcMar>
          </w:tcPr>
          <w:p>
            <w:r>
              <w:rPr>
                <w:b w:val="false"/>
                <w:bCs w:val="false"/>
                <w:sz w:val="19"/>
                <w:szCs w:val="19"/>
              </w:rPr>
              <w:t xml:space="preserve">Entre inicial y básico</w:t>
            </w:r>
          </w:p>
        </w:tc>
        <w:tc>
          <w:tcPr>
            <w:tcW w:type="dxa" w:w="5500"/>
            <w:tcMar>
              <w:top w:type="dxa" w:w="80"/>
              <w:left w:type="dxa" w:w="120"/>
              <w:bottom w:type="dxa" w:w="80"/>
              <w:right w:type="dxa" w:w="120"/>
            </w:tcMar>
          </w:tcPr>
          <w:p>
            <w:r>
              <w:rPr>
                <w:b w:val="false"/>
                <w:bCs w:val="false"/>
                <w:sz w:val="19"/>
                <w:szCs w:val="19"/>
              </w:rPr>
              <w:t xml:space="preserve">Conocimiento fragmentario de lo básico; necesita apoyo frecuente.</w:t>
            </w:r>
          </w:p>
        </w:tc>
      </w:tr>
      <w:tr>
        <w:tc>
          <w:tcPr>
            <w:tcW w:type="dxa" w:w="1100"/>
            <w:tcMar>
              <w:top w:type="dxa" w:w="80"/>
              <w:left w:type="dxa" w:w="120"/>
              <w:bottom w:type="dxa" w:w="80"/>
              <w:right w:type="dxa" w:w="120"/>
            </w:tcMar>
          </w:tcPr>
          <w:p>
            <w:r>
              <w:rPr>
                <w:b w:val="false"/>
                <w:bCs w:val="false"/>
                <w:sz w:val="19"/>
                <w:szCs w:val="19"/>
              </w:rPr>
              <w:t xml:space="preserve">1.0</w:t>
            </w:r>
          </w:p>
        </w:tc>
        <w:tc>
          <w:tcPr>
            <w:tcW w:type="dxa" w:w="2600"/>
            <w:tcMar>
              <w:top w:type="dxa" w:w="80"/>
              <w:left w:type="dxa" w:w="120"/>
              <w:bottom w:type="dxa" w:w="80"/>
              <w:right w:type="dxa" w:w="120"/>
            </w:tcMar>
          </w:tcPr>
          <w:p>
            <w:r>
              <w:rPr>
                <w:b w:val="false"/>
                <w:bCs w:val="false"/>
                <w:sz w:val="19"/>
                <w:szCs w:val="19"/>
              </w:rPr>
              <w:t xml:space="preserve">Inicial</w:t>
            </w:r>
          </w:p>
        </w:tc>
        <w:tc>
          <w:tcPr>
            <w:tcW w:type="dxa" w:w="5500"/>
            <w:tcMar>
              <w:top w:type="dxa" w:w="80"/>
              <w:left w:type="dxa" w:w="120"/>
              <w:bottom w:type="dxa" w:w="80"/>
              <w:right w:type="dxa" w:w="120"/>
            </w:tcMar>
          </w:tcPr>
          <w:p>
            <w:r>
              <w:rPr>
                <w:b w:val="false"/>
                <w:bCs w:val="false"/>
                <w:sz w:val="19"/>
                <w:szCs w:val="19"/>
              </w:rPr>
              <w:t xml:space="preserve">Solo demuestra comprensión con apoyo directo y guía paso a paso.</w:t>
            </w:r>
          </w:p>
        </w:tc>
      </w:tr>
      <w:tr>
        <w:tc>
          <w:tcPr>
            <w:tcW w:type="dxa" w:w="1100"/>
            <w:tcMar>
              <w:top w:type="dxa" w:w="80"/>
              <w:left w:type="dxa" w:w="120"/>
              <w:bottom w:type="dxa" w:w="80"/>
              <w:right w:type="dxa" w:w="120"/>
            </w:tcMar>
          </w:tcPr>
          <w:p>
            <w:r>
              <w:rPr>
                <w:b w:val="false"/>
                <w:bCs w:val="false"/>
                <w:sz w:val="19"/>
                <w:szCs w:val="19"/>
              </w:rPr>
              <w:t xml:space="preserve">0.5</w:t>
            </w:r>
          </w:p>
        </w:tc>
        <w:tc>
          <w:tcPr>
            <w:tcW w:type="dxa" w:w="2600"/>
            <w:tcMar>
              <w:top w:type="dxa" w:w="80"/>
              <w:left w:type="dxa" w:w="120"/>
              <w:bottom w:type="dxa" w:w="80"/>
              <w:right w:type="dxa" w:w="120"/>
            </w:tcMar>
          </w:tcPr>
          <w:p>
            <w:r>
              <w:rPr>
                <w:b w:val="false"/>
                <w:bCs w:val="false"/>
                <w:sz w:val="19"/>
                <w:szCs w:val="19"/>
              </w:rPr>
              <w:t xml:space="preserve">Mínimo</w:t>
            </w:r>
          </w:p>
        </w:tc>
        <w:tc>
          <w:tcPr>
            <w:tcW w:type="dxa" w:w="5500"/>
            <w:tcMar>
              <w:top w:type="dxa" w:w="80"/>
              <w:left w:type="dxa" w:w="120"/>
              <w:bottom w:type="dxa" w:w="80"/>
              <w:right w:type="dxa" w:w="120"/>
            </w:tcMar>
          </w:tcPr>
          <w:p>
            <w:r>
              <w:rPr>
                <w:b w:val="false"/>
                <w:bCs w:val="false"/>
                <w:sz w:val="19"/>
                <w:szCs w:val="19"/>
              </w:rPr>
              <w:t xml:space="preserve">Incluso con apoyo continuo apenas logra tareas mínimas.</w:t>
            </w:r>
          </w:p>
        </w:tc>
      </w:tr>
      <w:tr>
        <w:tc>
          <w:tcPr>
            <w:tcW w:type="dxa" w:w="1100"/>
            <w:tcMar>
              <w:top w:type="dxa" w:w="80"/>
              <w:left w:type="dxa" w:w="120"/>
              <w:bottom w:type="dxa" w:w="80"/>
              <w:right w:type="dxa" w:w="120"/>
            </w:tcMar>
          </w:tcPr>
          <w:p>
            <w:r>
              <w:rPr>
                <w:b w:val="false"/>
                <w:bCs w:val="false"/>
                <w:sz w:val="19"/>
                <w:szCs w:val="19"/>
              </w:rPr>
              <w:t xml:space="preserve">0.0</w:t>
            </w:r>
          </w:p>
        </w:tc>
        <w:tc>
          <w:tcPr>
            <w:tcW w:type="dxa" w:w="2600"/>
            <w:tcMar>
              <w:top w:type="dxa" w:w="80"/>
              <w:left w:type="dxa" w:w="120"/>
              <w:bottom w:type="dxa" w:w="80"/>
              <w:right w:type="dxa" w:w="120"/>
            </w:tcMar>
          </w:tcPr>
          <w:p>
            <w:r>
              <w:rPr>
                <w:b w:val="false"/>
                <w:bCs w:val="false"/>
                <w:sz w:val="19"/>
                <w:szCs w:val="19"/>
              </w:rPr>
              <w:t xml:space="preserve">Sin evidencia</w:t>
            </w:r>
          </w:p>
        </w:tc>
        <w:tc>
          <w:tcPr>
            <w:tcW w:type="dxa" w:w="5500"/>
            <w:tcMar>
              <w:top w:type="dxa" w:w="80"/>
              <w:left w:type="dxa" w:w="120"/>
              <w:bottom w:type="dxa" w:w="80"/>
              <w:right w:type="dxa" w:w="120"/>
            </w:tcMar>
          </w:tcPr>
          <w:p>
            <w:r>
              <w:rPr>
                <w:b w:val="false"/>
                <w:bCs w:val="false"/>
                <w:sz w:val="19"/>
                <w:szCs w:val="19"/>
              </w:rPr>
              <w:t xml:space="preserve">No demuestra comprensión ni con andamiaje directo.</w:t>
            </w:r>
          </w:p>
        </w:tc>
      </w:tr>
    </w:tbl>
    <w:p>
      <w:pPr>
        <w:pStyle w:val="Heading2"/>
        <w:spacing w:after="100" w:before="240"/>
      </w:pPr>
      <w:r>
        <w:rPr>
          <w:color w:val="1F4E79"/>
        </w:rPr>
        <w:t xml:space="preserve">Dos cosas que cambian todo</w:t>
      </w:r>
    </w:p>
    <w:p>
      <w:pPr>
        <w:pStyle w:val="ListParagraph"/>
        <w:numPr>
          <w:ilvl w:val="0"/>
          <w:numId w:val="1"/>
        </w:numPr>
        <w:spacing w:after="80"/>
      </w:pPr>
      <w:r>
        <w:t xml:space="preserve">EL 3.0 ES LA META, NO EL 4.0. El 4.0 no es “hacer más cosas” ni “entregar más páginas”: es aplicar lo aprendido a algo que no se enseñó. Un curso donde todos sacan 4.0 tiene el estándar mal puesto.</w:t>
      </w:r>
    </w:p>
    <w:p>
      <w:pPr>
        <w:pStyle w:val="ListParagraph"/>
        <w:numPr>
          <w:ilvl w:val="0"/>
          <w:numId w:val="1"/>
        </w:numPr>
        <w:spacing w:after="80"/>
      </w:pPr>
      <w:r>
        <w:t xml:space="preserve">LA ESCALA DESCRIBE LO QUE EL ESTUDIANTE HACE, no cuántos puntos perdió. Cada nivel se puede reconocer mirando el trabajo, sin cuentas.</w:t>
      </w:r>
    </w:p>
    <w:p>
      <w:pPr>
        <w:pStyle w:val="Heading2"/>
        <w:spacing w:after="100" w:before="240"/>
      </w:pPr>
      <w:r>
        <w:rPr>
          <w:color w:val="1F4E79"/>
        </w:rPr>
        <w:t xml:space="preserve">Cómo se cierra el curso sin promediar</w:t>
      </w:r>
    </w:p>
    <w:p>
      <w:pPr>
        <w:spacing w:after="120"/>
      </w:pPr>
      <w:r>
        <w:rPr>
          <w:b w:val="false"/>
          <w:bCs w:val="false"/>
          <w:i w:val="false"/>
          <w:iCs w:val="false"/>
        </w:rPr>
        <w:t xml:space="preserve">En vez de promediar, se lee la TENDENCIA: se le da más peso a las evidencias recientes, porque son las que muestran dónde está el estudiante ahora.</w:t>
      </w:r>
    </w:p>
    <w:p>
      <w:pPr>
        <w:spacing w:after="120"/>
      </w:pPr>
      <w:r>
        <w:rPr>
          <w:b w:val="false"/>
          <w:bCs w:val="false"/>
          <w:i w:val="false"/>
          <w:iCs w:val="false"/>
        </w:rPr>
        <w:t xml:space="preserve">Una estudiante con ocho entregas: 1.0 · 0.0 · 2.0 · 2.5 · 3.0 · 3.0 · 3.5 · 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CE6F1" w:val="clear"/>
            <w:tcMar>
              <w:top w:type="dxa" w:w="80"/>
              <w:left w:type="dxa" w:w="120"/>
              <w:bottom w:type="dxa" w:w="80"/>
              <w:right w:type="dxa" w:w="120"/>
            </w:tcMar>
          </w:tcPr>
          <w:p>
            <w:r>
              <w:rPr>
                <w:b/>
                <w:bCs/>
                <w:sz w:val="19"/>
                <w:szCs w:val="19"/>
              </w:rPr>
              <w:t xml:space="preserve">Cómo se lee</w:t>
            </w:r>
          </w:p>
        </w:tc>
        <w:tc>
          <w:tcPr>
            <w:tcW w:type="dxa" w:w="3200"/>
            <w:shd w:fill="DCE6F1" w:val="clear"/>
            <w:tcMar>
              <w:top w:type="dxa" w:w="80"/>
              <w:left w:type="dxa" w:w="120"/>
              <w:bottom w:type="dxa" w:w="80"/>
              <w:right w:type="dxa" w:w="120"/>
            </w:tcMar>
          </w:tcPr>
          <w:p>
            <w:r>
              <w:rPr>
                <w:b/>
                <w:bCs/>
                <w:sz w:val="19"/>
                <w:szCs w:val="19"/>
              </w:rPr>
              <w:t xml:space="preserve">Resultado</w:t>
            </w:r>
          </w:p>
        </w:tc>
        <w:tc>
          <w:tcPr>
            <w:tcW w:type="dxa" w:w="3400"/>
            <w:shd w:fill="DCE6F1" w:val="clear"/>
            <w:tcMar>
              <w:top w:type="dxa" w:w="80"/>
              <w:left w:type="dxa" w:w="120"/>
              <w:bottom w:type="dxa" w:w="80"/>
              <w:right w:type="dxa" w:w="120"/>
            </w:tcMar>
          </w:tcPr>
          <w:p>
            <w:r>
              <w:rPr>
                <w:b/>
                <w:bCs/>
                <w:sz w:val="19"/>
                <w:szCs w:val="19"/>
              </w:rPr>
              <w:t xml:space="preserve">Qué describe</w:t>
            </w:r>
          </w:p>
        </w:tc>
      </w:tr>
      <w:tr>
        <w:tc>
          <w:tcPr>
            <w:tcW w:type="dxa" w:w="2600"/>
            <w:tcMar>
              <w:top w:type="dxa" w:w="80"/>
              <w:left w:type="dxa" w:w="120"/>
              <w:bottom w:type="dxa" w:w="80"/>
              <w:right w:type="dxa" w:w="120"/>
            </w:tcMar>
          </w:tcPr>
          <w:p>
            <w:r>
              <w:rPr>
                <w:b w:val="false"/>
                <w:bCs w:val="false"/>
                <w:sz w:val="19"/>
                <w:szCs w:val="19"/>
              </w:rPr>
              <w:t xml:space="preserve">Promediando</w:t>
            </w:r>
          </w:p>
        </w:tc>
        <w:tc>
          <w:tcPr>
            <w:tcW w:type="dxa" w:w="3200"/>
            <w:tcMar>
              <w:top w:type="dxa" w:w="80"/>
              <w:left w:type="dxa" w:w="120"/>
              <w:bottom w:type="dxa" w:w="80"/>
              <w:right w:type="dxa" w:w="120"/>
            </w:tcMar>
          </w:tcPr>
          <w:p>
            <w:r>
              <w:rPr>
                <w:b w:val="false"/>
                <w:bCs w:val="false"/>
                <w:sz w:val="19"/>
                <w:szCs w:val="19"/>
              </w:rPr>
              <w:t xml:space="preserve">2.4 — un tres raspado</w:t>
            </w:r>
          </w:p>
        </w:tc>
        <w:tc>
          <w:tcPr>
            <w:tcW w:type="dxa" w:w="3400"/>
            <w:tcMar>
              <w:top w:type="dxa" w:w="80"/>
              <w:left w:type="dxa" w:w="120"/>
              <w:bottom w:type="dxa" w:w="80"/>
              <w:right w:type="dxa" w:w="120"/>
            </w:tcMar>
          </w:tcPr>
          <w:p>
            <w:r>
              <w:rPr>
                <w:b w:val="false"/>
                <w:bCs w:val="false"/>
                <w:sz w:val="19"/>
                <w:szCs w:val="19"/>
              </w:rPr>
              <w:t xml:space="preserve">Un promedio de personas que ya no existe</w:t>
            </w:r>
          </w:p>
        </w:tc>
      </w:tr>
      <w:tr>
        <w:tc>
          <w:tcPr>
            <w:tcW w:type="dxa" w:w="2600"/>
            <w:tcMar>
              <w:top w:type="dxa" w:w="80"/>
              <w:left w:type="dxa" w:w="120"/>
              <w:bottom w:type="dxa" w:w="80"/>
              <w:right w:type="dxa" w:w="120"/>
            </w:tcMar>
          </w:tcPr>
          <w:p>
            <w:r>
              <w:rPr>
                <w:b w:val="false"/>
                <w:bCs w:val="false"/>
                <w:sz w:val="19"/>
                <w:szCs w:val="19"/>
              </w:rPr>
              <w:t xml:space="preserve">Leyendo la tendencia</w:t>
            </w:r>
          </w:p>
        </w:tc>
        <w:tc>
          <w:tcPr>
            <w:tcW w:type="dxa" w:w="3200"/>
            <w:tcMar>
              <w:top w:type="dxa" w:w="80"/>
              <w:left w:type="dxa" w:w="120"/>
              <w:bottom w:type="dxa" w:w="80"/>
              <w:right w:type="dxa" w:w="120"/>
            </w:tcMar>
          </w:tcPr>
          <w:p>
            <w:r>
              <w:rPr>
                <w:b w:val="false"/>
                <w:bCs w:val="false"/>
                <w:sz w:val="19"/>
                <w:szCs w:val="19"/>
              </w:rPr>
              <w:t xml:space="preserve">3.5 — domina el estándar y a veces lo excede</w:t>
            </w:r>
          </w:p>
        </w:tc>
        <w:tc>
          <w:tcPr>
            <w:tcW w:type="dxa" w:w="3400"/>
            <w:tcMar>
              <w:top w:type="dxa" w:w="80"/>
              <w:left w:type="dxa" w:w="120"/>
              <w:bottom w:type="dxa" w:w="80"/>
              <w:right w:type="dxa" w:w="120"/>
            </w:tcMar>
          </w:tcPr>
          <w:p>
            <w:r>
              <w:rPr>
                <w:b w:val="false"/>
                <w:bCs w:val="false"/>
                <w:sz w:val="19"/>
                <w:szCs w:val="19"/>
              </w:rPr>
              <w:t xml:space="preserve">La estudiante que hoy está en su salón</w:t>
            </w:r>
          </w:p>
        </w:tc>
      </w:tr>
    </w:tbl>
    <w:p>
      <w:pPr>
        <w:spacing w:after="120"/>
      </w:pPr>
      <w:r>
        <w:rPr>
          <w:b w:val="false"/>
          <w:bCs w:val="false"/>
          <w:i w:val="false"/>
          <w:iCs w:val="false"/>
        </w:rPr>
        <w:t xml:space="preserve">Las dos cifras salen de los mismos datos.</w:t>
      </w:r>
    </w:p>
    <w:p>
      <w:pPr>
        <w:pStyle w:val="Heading2"/>
        <w:spacing w:after="100" w:before="240"/>
      </w:pPr>
      <w:r>
        <w:rPr>
          <w:color w:val="1F4E79"/>
        </w:rPr>
        <w:t xml:space="preserve">Tres reglas para redactar los descriptores</w:t>
      </w:r>
    </w:p>
    <w:p>
      <w:pPr>
        <w:spacing w:after="80"/>
        <w:ind w:left="360" w:hanging="260"/>
      </w:pPr>
      <w:r>
        <w:rPr>
          <w:b/>
          <w:bCs/>
        </w:rPr>
        <w:t xml:space="preserve">1. </w:t>
      </w:r>
      <w:r>
        <w:t xml:space="preserve">DESCRIBA LO QUE HACE, NO CUÁNTO ENTREGA. “Incluye al menos cinco fuentes” es cantidad; “contrasta fuentes que se contradicen y sostiene una posición” es calidad.</w:t>
      </w:r>
    </w:p>
    <w:p>
      <w:pPr>
        <w:spacing w:after="80"/>
        <w:ind w:left="360" w:hanging="260"/>
      </w:pPr>
      <w:r>
        <w:rPr>
          <w:b/>
          <w:bCs/>
        </w:rPr>
        <w:t xml:space="preserve">2. </w:t>
      </w:r>
      <w:r>
        <w:t xml:space="preserve">NADA DE “BIEN / REGULAR / MAL”. Eso no es una rúbrica: es una nota con más palabras. Cada nivel debe permitir ubicar un trabajo sin discusión.</w:t>
      </w:r>
    </w:p>
    <w:p>
      <w:pPr>
        <w:spacing w:after="80"/>
        <w:ind w:left="360" w:hanging="260"/>
      </w:pPr>
      <w:r>
        <w:rPr>
          <w:b/>
          <w:bCs/>
        </w:rPr>
        <w:t xml:space="preserve">3. </w:t>
      </w:r>
      <w:r>
        <w:t xml:space="preserve">EL 4.0 ES TRANSFERENCIA, NO CANTIDAD. Si su 4.0 dice “hace todo lo del 3.0 y además tres ejemplos más”, está midiendo volumen.</w:t>
      </w:r>
    </w:p>
    <w:p>
      <w:pPr>
        <w:pStyle w:val="Heading2"/>
        <w:spacing w:after="100" w:before="240"/>
      </w:pPr>
      <w:r>
        <w:rPr>
          <w:color w:val="1F4E79"/>
        </w:rPr>
        <w:t xml:space="preserve">Su rúbrica</w:t>
      </w:r>
    </w:p>
    <w:p>
      <w:pPr>
        <w:spacing w:after="120"/>
      </w:pPr>
      <w:r>
        <w:rPr>
          <w:b w:val="false"/>
          <w:bCs w:val="false"/>
          <w:i w:val="false"/>
          <w:iCs w:val="false"/>
        </w:rPr>
        <w:t xml:space="preserve">Plantilla en blanco para la evidencia principal de su unidad. De cuatro a seis criterios.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CE6F1" w:val="clear"/>
            <w:tcMar>
              <w:top w:type="dxa" w:w="80"/>
              <w:left w:type="dxa" w:w="120"/>
              <w:bottom w:type="dxa" w:w="80"/>
              <w:right w:type="dxa" w:w="120"/>
            </w:tcMar>
          </w:tcPr>
          <w:p>
            <w:r>
              <w:rPr>
                <w:b/>
                <w:bCs/>
                <w:sz w:val="19"/>
                <w:szCs w:val="19"/>
              </w:rPr>
              <w:t xml:space="preserve">Criterio</w:t>
            </w:r>
          </w:p>
        </w:tc>
        <w:tc>
          <w:tcPr>
            <w:tcW w:type="dxa" w:w="1850"/>
            <w:shd w:fill="DCE6F1" w:val="clear"/>
            <w:tcMar>
              <w:top w:type="dxa" w:w="80"/>
              <w:left w:type="dxa" w:w="120"/>
              <w:bottom w:type="dxa" w:w="80"/>
              <w:right w:type="dxa" w:w="120"/>
            </w:tcMar>
          </w:tcPr>
          <w:p>
            <w:r>
              <w:rPr>
                <w:b/>
                <w:bCs/>
                <w:sz w:val="19"/>
                <w:szCs w:val="19"/>
              </w:rPr>
              <w:t xml:space="preserve">4.0</w:t>
            </w:r>
          </w:p>
        </w:tc>
        <w:tc>
          <w:tcPr>
            <w:tcW w:type="dxa" w:w="1850"/>
            <w:shd w:fill="DCE6F1" w:val="clear"/>
            <w:tcMar>
              <w:top w:type="dxa" w:w="80"/>
              <w:left w:type="dxa" w:w="120"/>
              <w:bottom w:type="dxa" w:w="80"/>
              <w:right w:type="dxa" w:w="120"/>
            </w:tcMar>
          </w:tcPr>
          <w:p>
            <w:r>
              <w:rPr>
                <w:b/>
                <w:bCs/>
                <w:sz w:val="19"/>
                <w:szCs w:val="19"/>
              </w:rPr>
              <w:t xml:space="preserve">3.0</w:t>
            </w:r>
          </w:p>
        </w:tc>
        <w:tc>
          <w:tcPr>
            <w:tcW w:type="dxa" w:w="1850"/>
            <w:shd w:fill="DCE6F1" w:val="clear"/>
            <w:tcMar>
              <w:top w:type="dxa" w:w="80"/>
              <w:left w:type="dxa" w:w="120"/>
              <w:bottom w:type="dxa" w:w="80"/>
              <w:right w:type="dxa" w:w="120"/>
            </w:tcMar>
          </w:tcPr>
          <w:p>
            <w:r>
              <w:rPr>
                <w:b/>
                <w:bCs/>
                <w:sz w:val="19"/>
                <w:szCs w:val="19"/>
              </w:rPr>
              <w:t xml:space="preserve">2.0</w:t>
            </w:r>
          </w:p>
        </w:tc>
        <w:tc>
          <w:tcPr>
            <w:tcW w:type="dxa" w:w="1850"/>
            <w:shd w:fill="DCE6F1" w:val="clear"/>
            <w:tcMar>
              <w:top w:type="dxa" w:w="80"/>
              <w:left w:type="dxa" w:w="120"/>
              <w:bottom w:type="dxa" w:w="80"/>
              <w:right w:type="dxa" w:w="120"/>
            </w:tcMar>
          </w:tcPr>
          <w:p>
            <w:r>
              <w:rPr>
                <w:b/>
                <w:bCs/>
                <w:sz w:val="19"/>
                <w:szCs w:val="19"/>
              </w:rPr>
              <w:t xml:space="preserve">1.0</w:t>
            </w:r>
          </w:p>
        </w:tc>
      </w:tr>
      <w:tr>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18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185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Bdr>
          <w:top w:val="single" w:color="BFBFBF" w:sz="6"/>
        </w:pBdr>
        <w:spacing w:before="320"/>
      </w:pPr>
      <w:r>
        <w:rPr>
          <w:i/>
          <w:iCs/>
          <w:color w:val="595959"/>
          <w:sz w:val="18"/>
          <w:szCs w:val="18"/>
        </w:rPr>
        <w:t xml:space="preserve">Material del curso “La Taxonomía de Marzano y Kendall: diseñar y evaluar por niveles de control consciente” · Módulo 6 · La escala 0–4 · Uso educativo.</w:t>
      </w:r>
    </w:p>
    <w:p>
      <w:pPr>
        <w:pageBreakBefore/>
      </w:pPr>
    </w:p>
    <w:p>
      <w:pPr>
        <w:pStyle w:val="Heading2"/>
        <w:spacing w:after="100" w:before="240"/>
      </w:pPr>
      <w:r>
        <w:rPr>
          <w:color w:val="1F4E79"/>
        </w:rPr>
        <w:t xml:space="preserve">La comparación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shd w:fill="DCE6F1" w:val="clear"/>
            <w:tcMar>
              <w:top w:type="dxa" w:w="80"/>
              <w:left w:type="dxa" w:w="120"/>
              <w:bottom w:type="dxa" w:w="80"/>
              <w:right w:type="dxa" w:w="120"/>
            </w:tcMar>
          </w:tcPr>
          <w:p>
            <w:r>
              <w:rPr>
                <w:b/>
                <w:bCs/>
                <w:sz w:val="19"/>
                <w:szCs w:val="19"/>
              </w:rPr>
              <w:t xml:space="preserve">Eje</w:t>
            </w:r>
          </w:p>
        </w:tc>
        <w:tc>
          <w:tcPr>
            <w:tcW w:type="dxa" w:w="2100"/>
            <w:shd w:fill="DCE6F1" w:val="clear"/>
            <w:tcMar>
              <w:top w:type="dxa" w:w="80"/>
              <w:left w:type="dxa" w:w="120"/>
              <w:bottom w:type="dxa" w:w="80"/>
              <w:right w:type="dxa" w:w="120"/>
            </w:tcMar>
          </w:tcPr>
          <w:p>
            <w:r>
              <w:rPr>
                <w:b/>
                <w:bCs/>
                <w:sz w:val="19"/>
                <w:szCs w:val="19"/>
              </w:rPr>
              <w:t xml:space="preserve">Marzano y Kendall (2007)</w:t>
            </w:r>
          </w:p>
        </w:tc>
        <w:tc>
          <w:tcPr>
            <w:tcW w:type="dxa" w:w="1900"/>
            <w:shd w:fill="DCE6F1" w:val="clear"/>
            <w:tcMar>
              <w:top w:type="dxa" w:w="80"/>
              <w:left w:type="dxa" w:w="120"/>
              <w:bottom w:type="dxa" w:w="80"/>
              <w:right w:type="dxa" w:w="120"/>
            </w:tcMar>
          </w:tcPr>
          <w:p>
            <w:r>
              <w:rPr>
                <w:b/>
                <w:bCs/>
                <w:sz w:val="19"/>
                <w:szCs w:val="19"/>
              </w:rPr>
              <w:t xml:space="preserve">Bloom revisada (2001)</w:t>
            </w:r>
          </w:p>
        </w:tc>
        <w:tc>
          <w:tcPr>
            <w:tcW w:type="dxa" w:w="1900"/>
            <w:shd w:fill="DCE6F1" w:val="clear"/>
            <w:tcMar>
              <w:top w:type="dxa" w:w="80"/>
              <w:left w:type="dxa" w:w="120"/>
              <w:bottom w:type="dxa" w:w="80"/>
              <w:right w:type="dxa" w:w="120"/>
            </w:tcMar>
          </w:tcPr>
          <w:p>
            <w:r>
              <w:rPr>
                <w:b/>
                <w:bCs/>
                <w:sz w:val="19"/>
                <w:szCs w:val="19"/>
              </w:rPr>
              <w:t xml:space="preserve">SOLO (1982)</w:t>
            </w:r>
          </w:p>
        </w:tc>
        <w:tc>
          <w:tcPr>
            <w:tcW w:type="dxa" w:w="1800"/>
            <w:shd w:fill="DCE6F1" w:val="clear"/>
            <w:tcMar>
              <w:top w:type="dxa" w:w="80"/>
              <w:left w:type="dxa" w:w="120"/>
              <w:bottom w:type="dxa" w:w="80"/>
              <w:right w:type="dxa" w:w="120"/>
            </w:tcMar>
          </w:tcPr>
          <w:p>
            <w:r>
              <w:rPr>
                <w:b/>
                <w:bCs/>
                <w:sz w:val="19"/>
                <w:szCs w:val="19"/>
              </w:rPr>
              <w:t xml:space="preserve">Fink (2003)</w:t>
            </w:r>
          </w:p>
        </w:tc>
      </w:tr>
      <w:tr>
        <w:tc>
          <w:tcPr>
            <w:tcW w:type="dxa" w:w="1500"/>
            <w:tcMar>
              <w:top w:type="dxa" w:w="80"/>
              <w:left w:type="dxa" w:w="120"/>
              <w:bottom w:type="dxa" w:w="80"/>
              <w:right w:type="dxa" w:w="120"/>
            </w:tcMar>
          </w:tcPr>
          <w:p>
            <w:r>
              <w:rPr>
                <w:b w:val="false"/>
                <w:bCs w:val="false"/>
                <w:sz w:val="19"/>
                <w:szCs w:val="19"/>
              </w:rPr>
              <w:t xml:space="preserve">Cómo ordena</w:t>
            </w:r>
          </w:p>
        </w:tc>
        <w:tc>
          <w:tcPr>
            <w:tcW w:type="dxa" w:w="2100"/>
            <w:tcMar>
              <w:top w:type="dxa" w:w="80"/>
              <w:left w:type="dxa" w:w="120"/>
              <w:bottom w:type="dxa" w:w="80"/>
              <w:right w:type="dxa" w:w="120"/>
            </w:tcMar>
          </w:tcPr>
          <w:p>
            <w:r>
              <w:rPr>
                <w:b w:val="false"/>
                <w:bCs w:val="false"/>
                <w:sz w:val="19"/>
                <w:szCs w:val="19"/>
              </w:rPr>
              <w:t xml:space="preserve">Por control consciente. Flujo de tres sistemas</w:t>
            </w:r>
          </w:p>
        </w:tc>
        <w:tc>
          <w:tcPr>
            <w:tcW w:type="dxa" w:w="1900"/>
            <w:tcMar>
              <w:top w:type="dxa" w:w="80"/>
              <w:left w:type="dxa" w:w="120"/>
              <w:bottom w:type="dxa" w:w="80"/>
              <w:right w:type="dxa" w:w="120"/>
            </w:tcMar>
          </w:tcPr>
          <w:p>
            <w:r>
              <w:rPr>
                <w:b w:val="false"/>
                <w:bCs w:val="false"/>
                <w:sz w:val="19"/>
                <w:szCs w:val="19"/>
              </w:rPr>
              <w:t xml:space="preserve">Jerarquía lineal por complejidad</w:t>
            </w:r>
          </w:p>
        </w:tc>
        <w:tc>
          <w:tcPr>
            <w:tcW w:type="dxa" w:w="1900"/>
            <w:tcMar>
              <w:top w:type="dxa" w:w="80"/>
              <w:left w:type="dxa" w:w="120"/>
              <w:bottom w:type="dxa" w:w="80"/>
              <w:right w:type="dxa" w:w="120"/>
            </w:tcMar>
          </w:tcPr>
          <w:p>
            <w:r>
              <w:rPr>
                <w:b w:val="false"/>
                <w:bCs w:val="false"/>
                <w:sz w:val="19"/>
                <w:szCs w:val="19"/>
              </w:rPr>
              <w:t xml:space="preserve">Por la calidad estructural de la respuesta observada</w:t>
            </w:r>
          </w:p>
        </w:tc>
        <w:tc>
          <w:tcPr>
            <w:tcW w:type="dxa" w:w="1800"/>
            <w:tcMar>
              <w:top w:type="dxa" w:w="80"/>
              <w:left w:type="dxa" w:w="120"/>
              <w:bottom w:type="dxa" w:w="80"/>
              <w:right w:type="dxa" w:w="120"/>
            </w:tcMar>
          </w:tcPr>
          <w:p>
            <w:r>
              <w:rPr>
                <w:b w:val="false"/>
                <w:bCs w:val="false"/>
                <w:sz w:val="19"/>
                <w:szCs w:val="19"/>
              </w:rPr>
              <w:t xml:space="preserve">Categorías que se potencian, sin jerarquía</w:t>
            </w:r>
          </w:p>
        </w:tc>
      </w:tr>
      <w:tr>
        <w:tc>
          <w:tcPr>
            <w:tcW w:type="dxa" w:w="1500"/>
            <w:tcMar>
              <w:top w:type="dxa" w:w="80"/>
              <w:left w:type="dxa" w:w="120"/>
              <w:bottom w:type="dxa" w:w="80"/>
              <w:right w:type="dxa" w:w="120"/>
            </w:tcMar>
          </w:tcPr>
          <w:p>
            <w:r>
              <w:rPr>
                <w:b w:val="false"/>
                <w:bCs w:val="false"/>
                <w:sz w:val="19"/>
                <w:szCs w:val="19"/>
              </w:rPr>
              <w:t xml:space="preserve">Lo afectivo</w:t>
            </w:r>
          </w:p>
        </w:tc>
        <w:tc>
          <w:tcPr>
            <w:tcW w:type="dxa" w:w="2100"/>
            <w:tcMar>
              <w:top w:type="dxa" w:w="80"/>
              <w:left w:type="dxa" w:w="120"/>
              <w:bottom w:type="dxa" w:w="80"/>
              <w:right w:type="dxa" w:w="120"/>
            </w:tcMar>
          </w:tcPr>
          <w:p>
            <w:r>
              <w:rPr>
                <w:b w:val="false"/>
                <w:bCs w:val="false"/>
                <w:sz w:val="19"/>
                <w:szCs w:val="19"/>
              </w:rPr>
              <w:t xml:space="preserve">Central: es la primera compuerta</w:t>
            </w:r>
          </w:p>
        </w:tc>
        <w:tc>
          <w:tcPr>
            <w:tcW w:type="dxa" w:w="1900"/>
            <w:tcMar>
              <w:top w:type="dxa" w:w="80"/>
              <w:left w:type="dxa" w:w="120"/>
              <w:bottom w:type="dxa" w:w="80"/>
              <w:right w:type="dxa" w:w="120"/>
            </w:tcMar>
          </w:tcPr>
          <w:p>
            <w:r>
              <w:rPr>
                <w:b w:val="false"/>
                <w:bCs w:val="false"/>
                <w:sz w:val="19"/>
                <w:szCs w:val="19"/>
              </w:rPr>
              <w:t xml:space="preserve">Fuera del modelo cognitivo</w:t>
            </w:r>
          </w:p>
        </w:tc>
        <w:tc>
          <w:tcPr>
            <w:tcW w:type="dxa" w:w="1900"/>
            <w:tcMar>
              <w:top w:type="dxa" w:w="80"/>
              <w:left w:type="dxa" w:w="120"/>
              <w:bottom w:type="dxa" w:w="80"/>
              <w:right w:type="dxa" w:w="120"/>
            </w:tcMar>
          </w:tcPr>
          <w:p>
            <w:r>
              <w:rPr>
                <w:b w:val="false"/>
                <w:bCs w:val="false"/>
                <w:sz w:val="19"/>
                <w:szCs w:val="19"/>
              </w:rPr>
              <w:t xml:space="preserve">Ausente</w:t>
            </w:r>
          </w:p>
        </w:tc>
        <w:tc>
          <w:tcPr>
            <w:tcW w:type="dxa" w:w="1800"/>
            <w:tcMar>
              <w:top w:type="dxa" w:w="80"/>
              <w:left w:type="dxa" w:w="120"/>
              <w:bottom w:type="dxa" w:w="80"/>
              <w:right w:type="dxa" w:w="120"/>
            </w:tcMar>
          </w:tcPr>
          <w:p>
            <w:r>
              <w:rPr>
                <w:b w:val="false"/>
                <w:bCs w:val="false"/>
                <w:sz w:val="19"/>
                <w:szCs w:val="19"/>
              </w:rPr>
              <w:t xml:space="preserve">Eje fundamental, incluye el cuidado ético</w:t>
            </w:r>
          </w:p>
        </w:tc>
      </w:tr>
      <w:tr>
        <w:tc>
          <w:tcPr>
            <w:tcW w:type="dxa" w:w="1500"/>
            <w:tcMar>
              <w:top w:type="dxa" w:w="80"/>
              <w:left w:type="dxa" w:w="120"/>
              <w:bottom w:type="dxa" w:w="80"/>
              <w:right w:type="dxa" w:w="120"/>
            </w:tcMar>
          </w:tcPr>
          <w:p>
            <w:r>
              <w:rPr>
                <w:b w:val="false"/>
                <w:bCs w:val="false"/>
                <w:sz w:val="19"/>
                <w:szCs w:val="19"/>
              </w:rPr>
              <w:t xml:space="preserve">La metacognición</w:t>
            </w:r>
          </w:p>
        </w:tc>
        <w:tc>
          <w:tcPr>
            <w:tcW w:type="dxa" w:w="2100"/>
            <w:tcMar>
              <w:top w:type="dxa" w:w="80"/>
              <w:left w:type="dxa" w:w="120"/>
              <w:bottom w:type="dxa" w:w="80"/>
              <w:right w:type="dxa" w:w="120"/>
            </w:tcMar>
          </w:tcPr>
          <w:p>
            <w:r>
              <w:rPr>
                <w:b w:val="false"/>
                <w:bCs w:val="false"/>
                <w:sz w:val="19"/>
                <w:szCs w:val="19"/>
              </w:rPr>
              <w:t xml:space="preserve">Un sistema activo que vigila en tiempo real</w:t>
            </w:r>
          </w:p>
        </w:tc>
        <w:tc>
          <w:tcPr>
            <w:tcW w:type="dxa" w:w="1900"/>
            <w:tcMar>
              <w:top w:type="dxa" w:w="80"/>
              <w:left w:type="dxa" w:w="120"/>
              <w:bottom w:type="dxa" w:w="80"/>
              <w:right w:type="dxa" w:w="120"/>
            </w:tcMar>
          </w:tcPr>
          <w:p>
            <w:r>
              <w:rPr>
                <w:b w:val="false"/>
                <w:bCs w:val="false"/>
                <w:sz w:val="19"/>
                <w:szCs w:val="19"/>
              </w:rPr>
              <w:t xml:space="preserve">Un tipo de conocimiento, estático</w:t>
            </w:r>
          </w:p>
        </w:tc>
        <w:tc>
          <w:tcPr>
            <w:tcW w:type="dxa" w:w="1900"/>
            <w:tcMar>
              <w:top w:type="dxa" w:w="80"/>
              <w:left w:type="dxa" w:w="120"/>
              <w:bottom w:type="dxa" w:w="80"/>
              <w:right w:type="dxa" w:w="120"/>
            </w:tcMar>
          </w:tcPr>
          <w:p>
            <w:r>
              <w:rPr>
                <w:b w:val="false"/>
                <w:bCs w:val="false"/>
                <w:sz w:val="19"/>
                <w:szCs w:val="19"/>
              </w:rPr>
              <w:t xml:space="preserve">Ausente</w:t>
            </w:r>
          </w:p>
        </w:tc>
        <w:tc>
          <w:tcPr>
            <w:tcW w:type="dxa" w:w="1800"/>
            <w:tcMar>
              <w:top w:type="dxa" w:w="80"/>
              <w:left w:type="dxa" w:w="120"/>
              <w:bottom w:type="dxa" w:w="80"/>
              <w:right w:type="dxa" w:w="120"/>
            </w:tcMar>
          </w:tcPr>
          <w:p>
            <w:r>
              <w:rPr>
                <w:b w:val="false"/>
                <w:bCs w:val="false"/>
                <w:sz w:val="19"/>
                <w:szCs w:val="19"/>
              </w:rPr>
              <w:t xml:space="preserve">Dentro de “aprender a aprender”</w:t>
            </w:r>
          </w:p>
        </w:tc>
      </w:tr>
      <w:tr>
        <w:tc>
          <w:tcPr>
            <w:tcW w:type="dxa" w:w="1500"/>
            <w:tcMar>
              <w:top w:type="dxa" w:w="80"/>
              <w:left w:type="dxa" w:w="120"/>
              <w:bottom w:type="dxa" w:w="80"/>
              <w:right w:type="dxa" w:w="120"/>
            </w:tcMar>
          </w:tcPr>
          <w:p>
            <w:r>
              <w:rPr>
                <w:b w:val="false"/>
                <w:bCs w:val="false"/>
                <w:sz w:val="19"/>
                <w:szCs w:val="19"/>
              </w:rPr>
              <w:t xml:space="preserve">Dónde rinde más</w:t>
            </w:r>
          </w:p>
        </w:tc>
        <w:tc>
          <w:tcPr>
            <w:tcW w:type="dxa" w:w="2100"/>
            <w:tcMar>
              <w:top w:type="dxa" w:w="80"/>
              <w:left w:type="dxa" w:w="120"/>
              <w:bottom w:type="dxa" w:w="80"/>
              <w:right w:type="dxa" w:w="120"/>
            </w:tcMar>
          </w:tcPr>
          <w:p>
            <w:r>
              <w:rPr>
                <w:b w:val="false"/>
                <w:bCs w:val="false"/>
                <w:sz w:val="19"/>
                <w:szCs w:val="19"/>
              </w:rPr>
              <w:t xml:space="preserve">Competencias, proyectos, investigación escolar</w:t>
            </w:r>
          </w:p>
        </w:tc>
        <w:tc>
          <w:tcPr>
            <w:tcW w:type="dxa" w:w="1900"/>
            <w:tcMar>
              <w:top w:type="dxa" w:w="80"/>
              <w:left w:type="dxa" w:w="120"/>
              <w:bottom w:type="dxa" w:w="80"/>
              <w:right w:type="dxa" w:w="120"/>
            </w:tcMar>
          </w:tcPr>
          <w:p>
            <w:r>
              <w:rPr>
                <w:b w:val="false"/>
                <w:bCs w:val="false"/>
                <w:sz w:val="19"/>
                <w:szCs w:val="19"/>
              </w:rPr>
              <w:t xml:space="preserve">Diseñar exámenes y secuencias directas</w:t>
            </w:r>
          </w:p>
        </w:tc>
        <w:tc>
          <w:tcPr>
            <w:tcW w:type="dxa" w:w="1900"/>
            <w:tcMar>
              <w:top w:type="dxa" w:w="80"/>
              <w:left w:type="dxa" w:w="120"/>
              <w:bottom w:type="dxa" w:w="80"/>
              <w:right w:type="dxa" w:w="120"/>
            </w:tcMar>
          </w:tcPr>
          <w:p>
            <w:r>
              <w:rPr>
                <w:b w:val="false"/>
                <w:bCs w:val="false"/>
                <w:sz w:val="19"/>
                <w:szCs w:val="19"/>
              </w:rPr>
              <w:t xml:space="preserve">Valorar ensayos, respuestas abiertas y portafolios</w:t>
            </w:r>
          </w:p>
        </w:tc>
        <w:tc>
          <w:tcPr>
            <w:tcW w:type="dxa" w:w="1800"/>
            <w:tcMar>
              <w:top w:type="dxa" w:w="80"/>
              <w:left w:type="dxa" w:w="120"/>
              <w:bottom w:type="dxa" w:w="80"/>
              <w:right w:type="dxa" w:w="120"/>
            </w:tcMar>
          </w:tcPr>
          <w:p>
            <w:r>
              <w:rPr>
                <w:b w:val="false"/>
                <w:bCs w:val="false"/>
                <w:sz w:val="19"/>
                <w:szCs w:val="19"/>
              </w:rPr>
              <w:t xml:space="preserve">Rediseñar asignaturas con impacto ético y personal</w:t>
            </w:r>
          </w:p>
        </w:tc>
      </w:tr>
      <w:tr>
        <w:tc>
          <w:tcPr>
            <w:tcW w:type="dxa" w:w="1500"/>
            <w:tcMar>
              <w:top w:type="dxa" w:w="80"/>
              <w:left w:type="dxa" w:w="120"/>
              <w:bottom w:type="dxa" w:w="80"/>
              <w:right w:type="dxa" w:w="120"/>
            </w:tcMar>
          </w:tcPr>
          <w:p>
            <w:r>
              <w:rPr>
                <w:b w:val="false"/>
                <w:bCs w:val="false"/>
                <w:sz w:val="19"/>
                <w:szCs w:val="19"/>
              </w:rPr>
              <w:t xml:space="preserve">Qué deja fuera</w:t>
            </w:r>
          </w:p>
        </w:tc>
        <w:tc>
          <w:tcPr>
            <w:tcW w:type="dxa" w:w="2100"/>
            <w:tcMar>
              <w:top w:type="dxa" w:w="80"/>
              <w:left w:type="dxa" w:w="120"/>
              <w:bottom w:type="dxa" w:w="80"/>
              <w:right w:type="dxa" w:w="120"/>
            </w:tcMar>
          </w:tcPr>
          <w:p>
            <w:r>
              <w:rPr>
                <w:b w:val="false"/>
                <w:bCs w:val="false"/>
                <w:sz w:val="19"/>
                <w:szCs w:val="19"/>
              </w:rPr>
              <w:t xml:space="preserve">La simplicidad: es el más difícil de adoptar</w:t>
            </w:r>
          </w:p>
        </w:tc>
        <w:tc>
          <w:tcPr>
            <w:tcW w:type="dxa" w:w="1900"/>
            <w:tcMar>
              <w:top w:type="dxa" w:w="80"/>
              <w:left w:type="dxa" w:w="120"/>
              <w:bottom w:type="dxa" w:w="80"/>
              <w:right w:type="dxa" w:w="120"/>
            </w:tcMar>
          </w:tcPr>
          <w:p>
            <w:r>
              <w:rPr>
                <w:b w:val="false"/>
                <w:bCs w:val="false"/>
                <w:sz w:val="19"/>
                <w:szCs w:val="19"/>
              </w:rPr>
              <w:t xml:space="preserve">Lo afectivo y la metacognición activa</w:t>
            </w:r>
          </w:p>
        </w:tc>
        <w:tc>
          <w:tcPr>
            <w:tcW w:type="dxa" w:w="1900"/>
            <w:tcMar>
              <w:top w:type="dxa" w:w="80"/>
              <w:left w:type="dxa" w:w="120"/>
              <w:bottom w:type="dxa" w:w="80"/>
              <w:right w:type="dxa" w:w="120"/>
            </w:tcMar>
          </w:tcPr>
          <w:p>
            <w:r>
              <w:rPr>
                <w:b w:val="false"/>
                <w:bCs w:val="false"/>
                <w:sz w:val="19"/>
                <w:szCs w:val="19"/>
              </w:rPr>
              <w:t xml:space="preserve">Lo afectivo y la metacognición</w:t>
            </w:r>
          </w:p>
        </w:tc>
        <w:tc>
          <w:tcPr>
            <w:tcW w:type="dxa" w:w="1800"/>
            <w:tcMar>
              <w:top w:type="dxa" w:w="80"/>
              <w:left w:type="dxa" w:w="120"/>
              <w:bottom w:type="dxa" w:w="80"/>
              <w:right w:type="dxa" w:w="120"/>
            </w:tcMar>
          </w:tcPr>
          <w:p>
            <w:r>
              <w:rPr>
                <w:b w:val="false"/>
                <w:bCs w:val="false"/>
                <w:sz w:val="19"/>
                <w:szCs w:val="19"/>
              </w:rPr>
              <w:t xml:space="preserve">La precisión para escribir objetivos</w:t>
            </w:r>
          </w:p>
        </w:tc>
      </w:tr>
    </w:tbl>
    <w:p>
      <w:pPr>
        <w:pStyle w:val="Heading2"/>
        <w:spacing w:after="100" w:before="240"/>
      </w:pPr>
      <w:r>
        <w:rPr>
          <w:color w:val="1F4E79"/>
        </w:rPr>
        <w:t xml:space="preserve">Cuál usar, según el caso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shd w:fill="DCE6F1" w:val="clear"/>
            <w:tcMar>
              <w:top w:type="dxa" w:w="80"/>
              <w:left w:type="dxa" w:w="120"/>
              <w:bottom w:type="dxa" w:w="80"/>
              <w:right w:type="dxa" w:w="120"/>
            </w:tcMar>
          </w:tcPr>
          <w:p>
            <w:r>
              <w:rPr>
                <w:b/>
                <w:bCs/>
                <w:sz w:val="19"/>
                <w:szCs w:val="19"/>
              </w:rPr>
              <w:t xml:space="preserve">Si el problema es…</w:t>
            </w:r>
          </w:p>
        </w:tc>
        <w:tc>
          <w:tcPr>
            <w:tcW w:type="dxa" w:w="3800"/>
            <w:shd w:fill="DCE6F1" w:val="clear"/>
            <w:tcMar>
              <w:top w:type="dxa" w:w="80"/>
              <w:left w:type="dxa" w:w="120"/>
              <w:bottom w:type="dxa" w:w="80"/>
              <w:right w:type="dxa" w:w="120"/>
            </w:tcMar>
          </w:tcPr>
          <w:p>
            <w:r>
              <w:rPr>
                <w:b/>
                <w:bCs/>
                <w:sz w:val="19"/>
                <w:szCs w:val="19"/>
              </w:rPr>
              <w:t xml:space="preserve">Use</w:t>
            </w:r>
          </w:p>
        </w:tc>
      </w:tr>
      <w:tr>
        <w:tc>
          <w:tcPr>
            <w:tcW w:type="dxa" w:w="5400"/>
            <w:tcMar>
              <w:top w:type="dxa" w:w="80"/>
              <w:left w:type="dxa" w:w="120"/>
              <w:bottom w:type="dxa" w:w="80"/>
              <w:right w:type="dxa" w:w="120"/>
            </w:tcMar>
          </w:tcPr>
          <w:p>
            <w:r>
              <w:rPr>
                <w:b w:val="false"/>
                <w:bCs w:val="false"/>
                <w:sz w:val="19"/>
                <w:szCs w:val="19"/>
              </w:rPr>
              <w:t xml:space="preserve">Decidir qué operación quiere provocar, sobre qué conocimiento, con qué evidencia — y que el estudiante quiera entrar y sepa vigilarse</w:t>
            </w:r>
          </w:p>
        </w:tc>
        <w:tc>
          <w:tcPr>
            <w:tcW w:type="dxa" w:w="3800"/>
            <w:tcMar>
              <w:top w:type="dxa" w:w="80"/>
              <w:left w:type="dxa" w:w="120"/>
              <w:bottom w:type="dxa" w:w="80"/>
              <w:right w:type="dxa" w:w="120"/>
            </w:tcMar>
          </w:tcPr>
          <w:p>
            <w:r>
              <w:rPr>
                <w:b w:val="false"/>
                <w:bCs w:val="false"/>
                <w:sz w:val="19"/>
                <w:szCs w:val="19"/>
              </w:rPr>
              <w:t xml:space="preserve">Marzano y Kendall</w:t>
            </w:r>
          </w:p>
        </w:tc>
      </w:tr>
      <w:tr>
        <w:tc>
          <w:tcPr>
            <w:tcW w:type="dxa" w:w="5400"/>
            <w:tcMar>
              <w:top w:type="dxa" w:w="80"/>
              <w:left w:type="dxa" w:w="120"/>
              <w:bottom w:type="dxa" w:w="80"/>
              <w:right w:type="dxa" w:w="120"/>
            </w:tcMar>
          </w:tcPr>
          <w:p>
            <w:r>
              <w:rPr>
                <w:b w:val="false"/>
                <w:bCs w:val="false"/>
                <w:sz w:val="19"/>
                <w:szCs w:val="19"/>
              </w:rPr>
              <w:t xml:space="preserve">Su institución la exige y no está a discusión, o necesita algo rápido y compartido que todo el mundo entienda</w:t>
            </w:r>
          </w:p>
        </w:tc>
        <w:tc>
          <w:tcPr>
            <w:tcW w:type="dxa" w:w="3800"/>
            <w:tcMar>
              <w:top w:type="dxa" w:w="80"/>
              <w:left w:type="dxa" w:w="120"/>
              <w:bottom w:type="dxa" w:w="80"/>
              <w:right w:type="dxa" w:w="120"/>
            </w:tcMar>
          </w:tcPr>
          <w:p>
            <w:r>
              <w:rPr>
                <w:b w:val="false"/>
                <w:bCs w:val="false"/>
                <w:sz w:val="19"/>
                <w:szCs w:val="19"/>
              </w:rPr>
              <w:t xml:space="preserve">Bloom revisada. Sigue siendo la lengua franca: no la desprecie por saber sus límites</w:t>
            </w:r>
          </w:p>
        </w:tc>
      </w:tr>
      <w:tr>
        <w:tc>
          <w:tcPr>
            <w:tcW w:type="dxa" w:w="5400"/>
            <w:tcMar>
              <w:top w:type="dxa" w:w="80"/>
              <w:left w:type="dxa" w:w="120"/>
              <w:bottom w:type="dxa" w:w="80"/>
              <w:right w:type="dxa" w:w="120"/>
            </w:tcMar>
          </w:tcPr>
          <w:p>
            <w:r>
              <w:rPr>
                <w:b w:val="false"/>
                <w:bCs w:val="false"/>
                <w:sz w:val="19"/>
                <w:szCs w:val="19"/>
              </w:rPr>
              <w:t xml:space="preserve">Lo que tiene delante ya está escrito y hay que valorarlo: un ensayo, una respuesta abierta</w:t>
            </w:r>
          </w:p>
        </w:tc>
        <w:tc>
          <w:tcPr>
            <w:tcW w:type="dxa" w:w="3800"/>
            <w:tcMar>
              <w:top w:type="dxa" w:w="80"/>
              <w:left w:type="dxa" w:w="120"/>
              <w:bottom w:type="dxa" w:w="80"/>
              <w:right w:type="dxa" w:w="120"/>
            </w:tcMar>
          </w:tcPr>
          <w:p>
            <w:r>
              <w:rPr>
                <w:b w:val="false"/>
                <w:bCs w:val="false"/>
                <w:sz w:val="19"/>
                <w:szCs w:val="19"/>
              </w:rPr>
              <w:t xml:space="preserve">SOLO. Es la mejor de las cuatro para decidir qué tan articulada está una respuesta</w:t>
            </w:r>
          </w:p>
        </w:tc>
      </w:tr>
      <w:tr>
        <w:tc>
          <w:tcPr>
            <w:tcW w:type="dxa" w:w="5400"/>
            <w:tcMar>
              <w:top w:type="dxa" w:w="80"/>
              <w:left w:type="dxa" w:w="120"/>
              <w:bottom w:type="dxa" w:w="80"/>
              <w:right w:type="dxa" w:w="120"/>
            </w:tcMar>
          </w:tcPr>
          <w:p>
            <w:r>
              <w:rPr>
                <w:b w:val="false"/>
                <w:bCs w:val="false"/>
                <w:sz w:val="19"/>
                <w:szCs w:val="19"/>
              </w:rPr>
              <w:t xml:space="preserve">Está rediseñando una asignatura completa y le importa lo que le pasa a la persona</w:t>
            </w:r>
          </w:p>
        </w:tc>
        <w:tc>
          <w:tcPr>
            <w:tcW w:type="dxa" w:w="3800"/>
            <w:tcMar>
              <w:top w:type="dxa" w:w="80"/>
              <w:left w:type="dxa" w:w="120"/>
              <w:bottom w:type="dxa" w:w="80"/>
              <w:right w:type="dxa" w:w="120"/>
            </w:tcMar>
          </w:tcPr>
          <w:p>
            <w:r>
              <w:rPr>
                <w:b w:val="false"/>
                <w:bCs w:val="false"/>
                <w:sz w:val="19"/>
                <w:szCs w:val="19"/>
              </w:rPr>
              <w:t xml:space="preserve">Fink</w:t>
            </w:r>
          </w:p>
        </w:tc>
      </w:tr>
    </w:tbl>
    <w:p>
      <w:pPr>
        <w:pStyle w:val="Heading2"/>
        <w:spacing w:after="100" w:before="240"/>
      </w:pPr>
      <w:r>
        <w:rPr>
          <w:color w:val="1F4E79"/>
        </w:rPr>
        <w:t xml:space="preserve">La ruta electiva</w:t>
      </w:r>
    </w:p>
    <w:p>
      <w:pPr>
        <w:spacing w:after="120"/>
      </w:pPr>
      <w:r>
        <w:rPr>
          <w:b w:val="false"/>
          <w:bCs w:val="false"/>
          <w:i w:val="false"/>
          <w:iCs w:val="false"/>
        </w:rPr>
        <w:t xml:space="preserve">Si su institución trabaja con otro marco y no puede cambiarlo, no lo abandone. TRADUZCA: escriba sus objetivos en el marco que le exigen y use la matriz de Marzano por dentro para revisar que no se le quede todo en los niveles bajos. Las dos cosas conviven sin problema.</w:t>
      </w:r>
    </w:p>
    <w:p>
      <w:pPr>
        <w:pStyle w:val="Heading2"/>
        <w:spacing w:after="100" w:before="240"/>
      </w:pPr>
      <w:r>
        <w:rPr>
          <w:color w:val="1F4E79"/>
        </w:rPr>
        <w:t xml:space="preserve">Lo que este modelo no resuelve</w:t>
      </w:r>
    </w:p>
    <w:p>
      <w:pPr>
        <w:spacing w:after="120"/>
      </w:pPr>
      <w:r>
        <w:rPr>
          <w:b w:val="false"/>
          <w:bCs w:val="false"/>
          <w:i w:val="false"/>
          <w:iCs w:val="false"/>
        </w:rPr>
        <w:t xml:space="preserve">Un curso que le enseña a examinar la importancia de lo que aprende no puede esconderle los límites de lo que le está enseñando. Tres, con nombre:</w:t>
      </w:r>
    </w:p>
    <w:p>
      <w:pPr>
        <w:pStyle w:val="Heading3"/>
        <w:spacing w:after="80" w:before="180"/>
      </w:pPr>
      <w:r>
        <w:rPr>
          <w:b/>
          <w:bCs/>
          <w:color w:val="595959"/>
        </w:rPr>
        <w:t xml:space="preserve">1 · La contradicción de la dirección</w:t>
      </w:r>
    </w:p>
    <w:p>
      <w:pPr>
        <w:spacing w:after="120"/>
      </w:pPr>
      <w:r>
        <w:rPr>
          <w:b w:val="false"/>
          <w:bCs w:val="false"/>
          <w:i w:val="false"/>
          <w:iCs w:val="false"/>
        </w:rPr>
        <w:t xml:space="preserve">Los niveles 5 y 6 están en la cúspide de la jerarquía, pero son los PRIMEROS que se activan en el flujo real. La jerarquía sube y el proceso baja. Marzano lo explica —lo que está arriba es el control de la conciencia, no el orden temporal—, pero la figura confunde, y confunde sobre todo a quien diseña secuencias lineales creyendo que hay que “llegar” al nivel 6 al final.</w:t>
      </w:r>
    </w:p>
    <w:p>
      <w:pPr>
        <w:pStyle w:val="Heading3"/>
        <w:spacing w:after="80" w:before="180"/>
      </w:pPr>
      <w:r>
        <w:rPr>
          <w:b/>
          <w:bCs/>
          <w:color w:val="595959"/>
        </w:rPr>
        <w:t xml:space="preserve">2 · Los bucles que el modelo no dibuja</w:t>
      </w:r>
    </w:p>
    <w:p>
      <w:pPr>
        <w:spacing w:after="120"/>
      </w:pPr>
      <w:r>
        <w:rPr>
          <w:b w:val="false"/>
          <w:bCs w:val="false"/>
          <w:i w:val="false"/>
          <w:iCs w:val="false"/>
        </w:rPr>
        <w:t xml:space="preserve">En la práctica, mientras el estudiante analiza vuelve constantemente al sistema de sí mismo a comprobar si esto sigue valiendo la pena, y al metacognitivo a reajustar la meta. Eso ocurre decenas de veces en una hora. La figura de las tres compuertas en serie —la que hemos usado todo el curso— simplifica ese ir y venir. Es un mapa útil, no una fotografía.</w:t>
      </w:r>
    </w:p>
    <w:p>
      <w:pPr>
        <w:pStyle w:val="Heading3"/>
        <w:spacing w:after="80" w:before="180"/>
      </w:pPr>
      <w:r>
        <w:rPr>
          <w:b/>
          <w:bCs/>
          <w:color w:val="595959"/>
        </w:rPr>
        <w:t xml:space="preserve">3 · Poca replicación independiente</w:t>
      </w:r>
    </w:p>
    <w:p>
      <w:pPr>
        <w:spacing w:after="120"/>
      </w:pPr>
      <w:r>
        <w:rPr>
          <w:b w:val="false"/>
          <w:bCs w:val="false"/>
          <w:i w:val="false"/>
          <w:iCs w:val="false"/>
        </w:rPr>
        <w:t xml:space="preserve">Han pasado casi veinte años y el volumen de investigación empírica independiente sobre este modelo sigue siendo muy inferior al de Bloom o su revisión. No significa que sea falso; significa que hay menos evidencia externa de la que le gustaría tener a quien lo adopta para una institución entera.</w:t>
      </w:r>
    </w:p>
    <w:p>
      <w:pPr>
        <w:pStyle w:val="Heading3"/>
        <w:spacing w:after="80" w:before="180"/>
      </w:pPr>
      <w:r>
        <w:rPr>
          <w:b/>
          <w:bCs/>
          <w:color w:val="595959"/>
        </w:rPr>
        <w:t xml:space="preserve">Y una dificultad práctica que no es del modelo sino de nosotros</w:t>
      </w:r>
    </w:p>
    <w:p>
      <w:pPr>
        <w:spacing w:after="120"/>
      </w:pPr>
      <w:r>
        <w:rPr>
          <w:b w:val="false"/>
          <w:bCs w:val="false"/>
          <w:i w:val="false"/>
          <w:iCs w:val="false"/>
        </w:rPr>
        <w:t xml:space="preserve">Cruzar tres sistemas por seis niveles por tres dominios es mucho para sostener en la cabeza mientras se planea el lunes por la mañana. Lo que se reporta que pasa en las escuelas que lo adoptan de golpe es que terminan usando solo el sistema cognitivo —la parte que ya se parecía a Bloom— y dejando fuera justamente lo que hacía distinto al modelo. Por eso este curso lo entregó en seis pasos y empezó por las compuertas.</w:t>
      </w:r>
    </w:p>
    <w:p>
      <w:pPr>
        <w:pStyle w:val="Heading2"/>
        <w:spacing w:after="100" w:before="240"/>
      </w:pPr>
      <w:r>
        <w:rPr>
          <w:color w:val="1F4E79"/>
        </w:rPr>
        <w:t xml:space="preserve">Su decisión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400"/>
            <w:shd w:fill="DCE6F1" w:val="clear"/>
            <w:tcMar>
              <w:top w:type="dxa" w:w="80"/>
              <w:left w:type="dxa" w:w="120"/>
              <w:bottom w:type="dxa" w:w="80"/>
              <w:right w:type="dxa" w:w="120"/>
            </w:tcMar>
          </w:tcPr>
          <w:p>
            <w:r>
              <w:rPr>
                <w:b/>
                <w:bCs/>
                <w:sz w:val="19"/>
                <w:szCs w:val="19"/>
              </w:rPr>
              <w:t xml:space="preserve">Situación de mi práctica</w:t>
            </w:r>
          </w:p>
        </w:tc>
        <w:tc>
          <w:tcPr>
            <w:tcW w:type="dxa" w:w="2400"/>
            <w:shd w:fill="DCE6F1" w:val="clear"/>
            <w:tcMar>
              <w:top w:type="dxa" w:w="80"/>
              <w:left w:type="dxa" w:w="120"/>
              <w:bottom w:type="dxa" w:w="80"/>
              <w:right w:type="dxa" w:w="120"/>
            </w:tcMar>
          </w:tcPr>
          <w:p>
            <w:r>
              <w:rPr>
                <w:b/>
                <w:bCs/>
                <w:sz w:val="19"/>
                <w:szCs w:val="19"/>
              </w:rPr>
              <w:t xml:space="preserve">Qué marco usaría</w:t>
            </w:r>
          </w:p>
        </w:tc>
        <w:tc>
          <w:tcPr>
            <w:tcW w:type="dxa" w:w="3400"/>
            <w:shd w:fill="DCE6F1" w:val="clear"/>
            <w:tcMar>
              <w:top w:type="dxa" w:w="80"/>
              <w:left w:type="dxa" w:w="120"/>
              <w:bottom w:type="dxa" w:w="80"/>
              <w:right w:type="dxa" w:w="120"/>
            </w:tcMar>
          </w:tcPr>
          <w:p>
            <w:r>
              <w:rPr>
                <w:b/>
                <w:bCs/>
                <w:sz w:val="19"/>
                <w:szCs w:val="19"/>
              </w:rPr>
              <w:t xml:space="preserve">Por qué</w:t>
            </w:r>
          </w:p>
        </w:tc>
      </w:tr>
      <w:tr>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r>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2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c>
          <w:tcPr>
            <w:tcW w:type="dxa" w:w="3400"/>
            <w:tcMar>
              <w:top w:type="dxa" w:w="80"/>
              <w:left w:type="dxa" w:w="120"/>
              <w:bottom w:type="dxa" w:w="80"/>
              <w:right w:type="dxa" w:w="120"/>
            </w:tcMar>
          </w:tcPr>
          <w:p>
            <w:r>
              <w:rPr>
                <w:b w:val="false"/>
                <w:bCs w:val="false"/>
                <w:sz w:val="19"/>
                <w:szCs w:val="19"/>
              </w:rPr>
              <w:t xml:space="preserve"/>
            </w:r>
          </w:p>
          <w:p>
            <w:r>
              <w:rPr>
                <w:b w:val="false"/>
                <w:bCs w:val="false"/>
                <w:sz w:val="19"/>
                <w:szCs w:val="19"/>
              </w:rPr>
              <w:t xml:space="preserve"/>
            </w:r>
          </w:p>
        </w:tc>
      </w:tr>
    </w:tbl>
    <w:p>
      <w:pPr>
        <w:pBdr>
          <w:top w:val="single" w:color="BFBFBF" w:sz="6"/>
        </w:pBdr>
        <w:spacing w:before="320"/>
      </w:pPr>
      <w:r>
        <w:rPr>
          <w:i/>
          <w:iCs/>
          <w:color w:val="595959"/>
          <w:sz w:val="18"/>
          <w:szCs w:val="18"/>
        </w:rPr>
        <w:t xml:space="preserve">Material del curso “La Taxonomía de Marzano y Kendall: diseñar y evaluar por niveles de control consciente” · Módulo 6 · Los cuatro marcos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2026-08-05T02:32:10.935Z</dcterms:created>
  <dcterms:modified xsi:type="dcterms:W3CDTF">2026-08-05T02:32:10.935Z</dcterms:modified>
</cp:coreProperties>
</file>

<file path=docProps/custom.xml><?xml version="1.0" encoding="utf-8"?>
<Properties xmlns="http://schemas.openxmlformats.org/officeDocument/2006/custom-properties" xmlns:vt="http://schemas.openxmlformats.org/officeDocument/2006/docPropsVTypes"/>
</file>