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La Taxonomía de Marzano y Kendall: diseñar y evaluar por niveles de control consciente</w:t>
      </w:r>
    </w:p>
    <w:p>
      <w:pPr>
        <w:pStyle w:val="Title"/>
        <w:spacing w:after="120"/>
      </w:pPr>
      <w:r>
        <w:rPr>
          <w:color w:val="1F4E79"/>
        </w:rPr>
        <w:t xml:space="preserve">Plantilla del diseño final</w:t>
      </w:r>
    </w:p>
    <w:p>
      <w:pPr>
        <w:spacing w:after="240"/>
      </w:pPr>
      <w:r>
        <w:rPr>
          <w:b/>
          <w:bCs/>
          <w:sz w:val="26"/>
          <w:szCs w:val="26"/>
        </w:rPr>
        <w:t xml:space="preserve">Evaluación final del curso</w:t>
      </w:r>
    </w:p>
    <w:p>
      <w:pPr>
        <w:spacing w:after="120"/>
      </w:pPr>
      <w:r>
        <w:rPr>
          <w:b w:val="false"/>
          <w:bCs w:val="false"/>
          <w:i w:val="false"/>
          <w:iCs w:val="false"/>
        </w:rPr>
        <w:t xml:space="preserve">Esta no es una tarea nueva: es la suma de las cinco anteriores, revisada y unificada. Reúna sus archivos de los módulos 1 a 5 antes de empezar.</w:t>
      </w:r>
    </w:p>
    <w:p>
      <w:pPr>
        <w:pBdr>
          <w:left w:val="single" w:color="C99A1E" w:sz="18"/>
        </w:pBdr>
        <w:spacing w:after="200" w:before="120"/>
        <w:ind w:left="200"/>
      </w:pPr>
      <w:r>
        <w:rPr>
          <w:i/>
          <w:iCs/>
        </w:rPr>
        <w:t xml:space="preserve">Si le falta alguno, siga adelante. En cada sección se indica qué hacer si no tiene el material previo.</w:t>
      </w:r>
    </w:p>
    <w:p>
      <w:pPr>
        <w:pStyle w:val="Heading2"/>
        <w:spacing w:after="100" w:before="240"/>
      </w:pPr>
      <w:r>
        <w:rPr>
          <w:color w:val="1F4E79"/>
        </w:rPr>
        <w:t xml:space="preserve">Identificación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CE6F1" w:val="clear"/>
            <w:tcMar>
              <w:top w:type="dxa" w:w="80"/>
              <w:left w:type="dxa" w:w="120"/>
              <w:bottom w:type="dxa" w:w="80"/>
              <w:right w:type="dxa" w:w="120"/>
            </w:tcMar>
          </w:tcPr>
          <w:p>
            <w:r>
              <w:rPr>
                <w:b/>
                <w:bCs/>
                <w:sz w:val="19"/>
                <w:szCs w:val="19"/>
              </w:rPr>
              <w:t xml:space="preserve">Asignatura y grado</w:t>
            </w:r>
          </w:p>
        </w:tc>
        <w:tc>
          <w:tcPr>
            <w:tcW w:type="dxa" w:w="6200"/>
            <w:shd w:fill="DCE6F1" w:val="clear"/>
            <w:tcMar>
              <w:top w:type="dxa" w:w="80"/>
              <w:left w:type="dxa" w:w="120"/>
              <w:bottom w:type="dxa" w:w="80"/>
              <w:right w:type="dxa" w:w="120"/>
            </w:tcMar>
          </w:tcPr>
          <w:p>
            <w:r>
              <w:rPr>
                <w:b/>
                <w:bCs/>
                <w:sz w:val="19"/>
                <w:szCs w:val="19"/>
              </w:rPr>
              <w:t xml:space="preserve"/>
            </w:r>
          </w:p>
          <w:p>
            <w:r>
              <w:rPr>
                <w:b/>
                <w:bCs/>
                <w:sz w:val="19"/>
                <w:szCs w:val="19"/>
              </w:rPr>
              <w:t xml:space="preserve"/>
            </w:r>
          </w:p>
        </w:tc>
      </w:tr>
      <w:tr>
        <w:tc>
          <w:tcPr>
            <w:tcW w:type="dxa" w:w="3000"/>
            <w:tcMar>
              <w:top w:type="dxa" w:w="80"/>
              <w:left w:type="dxa" w:w="120"/>
              <w:bottom w:type="dxa" w:w="80"/>
              <w:right w:type="dxa" w:w="120"/>
            </w:tcMar>
          </w:tcPr>
          <w:p>
            <w:r>
              <w:rPr>
                <w:b w:val="false"/>
                <w:bCs w:val="false"/>
                <w:sz w:val="19"/>
                <w:szCs w:val="19"/>
              </w:rPr>
              <w:t xml:space="preserve">Nombre de la unidad</w:t>
            </w:r>
          </w:p>
        </w:tc>
        <w:tc>
          <w:tcPr>
            <w:tcW w:type="dxa" w:w="6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3000"/>
            <w:tcMar>
              <w:top w:type="dxa" w:w="80"/>
              <w:left w:type="dxa" w:w="120"/>
              <w:bottom w:type="dxa" w:w="80"/>
              <w:right w:type="dxa" w:w="120"/>
            </w:tcMar>
          </w:tcPr>
          <w:p>
            <w:r>
              <w:rPr>
                <w:b w:val="false"/>
                <w:bCs w:val="false"/>
                <w:sz w:val="19"/>
                <w:szCs w:val="19"/>
              </w:rPr>
              <w:t xml:space="preserve">Duración</w:t>
            </w:r>
          </w:p>
        </w:tc>
        <w:tc>
          <w:tcPr>
            <w:tcW w:type="dxa" w:w="6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3000"/>
            <w:tcMar>
              <w:top w:type="dxa" w:w="80"/>
              <w:left w:type="dxa" w:w="120"/>
              <w:bottom w:type="dxa" w:w="80"/>
              <w:right w:type="dxa" w:w="120"/>
            </w:tcMar>
          </w:tcPr>
          <w:p>
            <w:r>
              <w:rPr>
                <w:b w:val="false"/>
                <w:bCs w:val="false"/>
                <w:sz w:val="19"/>
                <w:szCs w:val="19"/>
              </w:rPr>
              <w:t xml:space="preserve">Número de estudiantes</w:t>
            </w:r>
          </w:p>
        </w:tc>
        <w:tc>
          <w:tcPr>
            <w:tcW w:type="dxa" w:w="6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Style w:val="Heading2"/>
        <w:spacing w:after="100" w:before="240"/>
      </w:pPr>
      <w:r>
        <w:rPr>
          <w:color w:val="1F4E79"/>
        </w:rPr>
        <w:t xml:space="preserve">Sección 1 · Los objetivos</w:t>
      </w:r>
    </w:p>
    <w:p>
      <w:pPr>
        <w:spacing w:after="120"/>
      </w:pPr>
      <w:r>
        <w:rPr>
          <w:b w:val="false"/>
          <w:bCs w:val="false"/>
          <w:i w:val="false"/>
          <w:iCs w:val="false"/>
        </w:rPr>
        <w:t xml:space="preserve">Traiga los del módulo 5, con su celda de la matriz. Revíselos con lo que sabe ahora: ¿siguen cayendo donde quería?</w:t>
      </w:r>
    </w:p>
    <w:p>
      <w:pPr>
        <w:spacing w:after="120"/>
      </w:pPr>
      <w:r>
        <w:rPr>
          <w:b w:val="false"/>
          <w:bCs w:val="false"/>
          <w:i/>
          <w:iCs/>
        </w:rPr>
        <w:t xml:space="preserve">Si no hizo el módulo 5: escriba de cuatro a seis objetivos con las cuatro piezas (“El estudiante será capaz de” + verbo operativo + contenido específico + condición).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CE6F1" w:val="clear"/>
            <w:tcMar>
              <w:top w:type="dxa" w:w="80"/>
              <w:left w:type="dxa" w:w="120"/>
              <w:bottom w:type="dxa" w:w="80"/>
              <w:right w:type="dxa" w:w="120"/>
            </w:tcMar>
          </w:tcPr>
          <w:p>
            <w:r>
              <w:rPr>
                <w:b/>
                <w:bCs/>
                <w:sz w:val="19"/>
                <w:szCs w:val="19"/>
              </w:rPr>
              <w:t xml:space="preserve">Celda (nivel × dominio)</w:t>
            </w:r>
          </w:p>
        </w:tc>
        <w:tc>
          <w:tcPr>
            <w:tcW w:type="dxa" w:w="5000"/>
            <w:shd w:fill="DCE6F1" w:val="clear"/>
            <w:tcMar>
              <w:top w:type="dxa" w:w="80"/>
              <w:left w:type="dxa" w:w="120"/>
              <w:bottom w:type="dxa" w:w="80"/>
              <w:right w:type="dxa" w:w="120"/>
            </w:tcMar>
          </w:tcPr>
          <w:p>
            <w:r>
              <w:rPr>
                <w:b/>
                <w:bCs/>
                <w:sz w:val="19"/>
                <w:szCs w:val="19"/>
              </w:rPr>
              <w:t xml:space="preserve">El objetivo</w:t>
            </w:r>
          </w:p>
        </w:tc>
        <w:tc>
          <w:tcPr>
            <w:tcW w:type="dxa" w:w="2000"/>
            <w:shd w:fill="DCE6F1" w:val="clear"/>
            <w:tcMar>
              <w:top w:type="dxa" w:w="80"/>
              <w:left w:type="dxa" w:w="120"/>
              <w:bottom w:type="dxa" w:w="80"/>
              <w:right w:type="dxa" w:w="120"/>
            </w:tcMar>
          </w:tcPr>
          <w:p>
            <w:r>
              <w:rPr>
                <w:b/>
                <w:bCs/>
                <w:sz w:val="19"/>
                <w:szCs w:val="19"/>
              </w:rPr>
              <w:t xml:space="preserve">¿Sigue cayendo ahí?</w:t>
            </w:r>
          </w:p>
        </w:tc>
      </w:tr>
      <w:tr>
        <w:tc>
          <w:tcPr>
            <w:tcW w:type="dxa" w:w="2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5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5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5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5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5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5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Style w:val="Heading2"/>
        <w:spacing w:after="100" w:before="240"/>
      </w:pPr>
      <w:r>
        <w:rPr>
          <w:color w:val="1F4E79"/>
        </w:rPr>
        <w:t xml:space="preserve">Sección 2 · La apertura</w:t>
      </w:r>
    </w:p>
    <w:p>
      <w:pPr>
        <w:spacing w:after="120"/>
      </w:pPr>
      <w:r>
        <w:rPr>
          <w:b w:val="false"/>
          <w:bCs w:val="false"/>
          <w:i w:val="false"/>
          <w:iCs w:val="false"/>
        </w:rPr>
        <w:t xml:space="preserve">Traiga el rediseño del módulo 2. Compruebe que sigue atendiendo los cuatro filtros ahora que la unidad tiene objetivos definidos.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CE6F1" w:val="clear"/>
            <w:tcMar>
              <w:top w:type="dxa" w:w="80"/>
              <w:left w:type="dxa" w:w="120"/>
              <w:bottom w:type="dxa" w:w="80"/>
              <w:right w:type="dxa" w:w="120"/>
            </w:tcMar>
          </w:tcPr>
          <w:p>
            <w:r>
              <w:rPr>
                <w:b/>
                <w:bCs/>
                <w:sz w:val="19"/>
                <w:szCs w:val="19"/>
              </w:rPr>
              <w:t xml:space="preserve"> </w:t>
            </w:r>
          </w:p>
        </w:tc>
      </w:tr>
      <w:tr>
        <w:tc>
          <w:tcPr>
            <w:tcW w:type="dxa" w:w="9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9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9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9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9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9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9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9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shd w:fill="DCE6F1" w:val="clear"/>
            <w:tcMar>
              <w:top w:type="dxa" w:w="80"/>
              <w:left w:type="dxa" w:w="120"/>
              <w:bottom w:type="dxa" w:w="80"/>
              <w:right w:type="dxa" w:w="120"/>
            </w:tcMar>
          </w:tcPr>
          <w:p>
            <w:r>
              <w:rPr>
                <w:b/>
                <w:bCs/>
                <w:sz w:val="19"/>
                <w:szCs w:val="19"/>
              </w:rPr>
              <w:t xml:space="preserve">Filtro</w:t>
            </w:r>
          </w:p>
        </w:tc>
        <w:tc>
          <w:tcPr>
            <w:tcW w:type="dxa" w:w="6000"/>
            <w:shd w:fill="DCE6F1" w:val="clear"/>
            <w:tcMar>
              <w:top w:type="dxa" w:w="80"/>
              <w:left w:type="dxa" w:w="120"/>
              <w:bottom w:type="dxa" w:w="80"/>
              <w:right w:type="dxa" w:w="120"/>
            </w:tcMar>
          </w:tcPr>
          <w:p>
            <w:r>
              <w:rPr>
                <w:b/>
                <w:bCs/>
                <w:sz w:val="19"/>
                <w:szCs w:val="19"/>
              </w:rPr>
              <w:t xml:space="preserve">¿Con qué frase lo atiendo?</w:t>
            </w:r>
          </w:p>
        </w:tc>
      </w:tr>
      <w:tr>
        <w:tc>
          <w:tcPr>
            <w:tcW w:type="dxa" w:w="3200"/>
            <w:tcMar>
              <w:top w:type="dxa" w:w="80"/>
              <w:left w:type="dxa" w:w="120"/>
              <w:bottom w:type="dxa" w:w="80"/>
              <w:right w:type="dxa" w:w="120"/>
            </w:tcMar>
          </w:tcPr>
          <w:p>
            <w:r>
              <w:rPr>
                <w:b w:val="false"/>
                <w:bCs w:val="false"/>
                <w:sz w:val="19"/>
                <w:szCs w:val="19"/>
              </w:rPr>
              <w:t xml:space="preserve">Importancia — ¿esto me importa?</w:t>
            </w:r>
          </w:p>
        </w:tc>
        <w:tc>
          <w:tcPr>
            <w:tcW w:type="dxa" w:w="6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3200"/>
            <w:tcMar>
              <w:top w:type="dxa" w:w="80"/>
              <w:left w:type="dxa" w:w="120"/>
              <w:bottom w:type="dxa" w:w="80"/>
              <w:right w:type="dxa" w:w="120"/>
            </w:tcMar>
          </w:tcPr>
          <w:p>
            <w:r>
              <w:rPr>
                <w:b w:val="false"/>
                <w:bCs w:val="false"/>
                <w:sz w:val="19"/>
                <w:szCs w:val="19"/>
              </w:rPr>
              <w:t xml:space="preserve">Eficacia — ¿puedo con esto?</w:t>
            </w:r>
          </w:p>
        </w:tc>
        <w:tc>
          <w:tcPr>
            <w:tcW w:type="dxa" w:w="6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3200"/>
            <w:tcMar>
              <w:top w:type="dxa" w:w="80"/>
              <w:left w:type="dxa" w:w="120"/>
              <w:bottom w:type="dxa" w:w="80"/>
              <w:right w:type="dxa" w:w="120"/>
            </w:tcMar>
          </w:tcPr>
          <w:p>
            <w:r>
              <w:rPr>
                <w:b w:val="false"/>
                <w:bCs w:val="false"/>
                <w:sz w:val="19"/>
                <w:szCs w:val="19"/>
              </w:rPr>
              <w:t xml:space="preserve">Emoción — ¿cómo me hace sentir?</w:t>
            </w:r>
          </w:p>
        </w:tc>
        <w:tc>
          <w:tcPr>
            <w:tcW w:type="dxa" w:w="6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3200"/>
            <w:tcMar>
              <w:top w:type="dxa" w:w="80"/>
              <w:left w:type="dxa" w:w="120"/>
              <w:bottom w:type="dxa" w:w="80"/>
              <w:right w:type="dxa" w:w="120"/>
            </w:tcMar>
          </w:tcPr>
          <w:p>
            <w:r>
              <w:rPr>
                <w:b w:val="false"/>
                <w:bCs w:val="false"/>
                <w:sz w:val="19"/>
                <w:szCs w:val="19"/>
              </w:rPr>
              <w:t xml:space="preserve">Motivación — ¿vale la pena?</w:t>
            </w:r>
          </w:p>
        </w:tc>
        <w:tc>
          <w:tcPr>
            <w:tcW w:type="dxa" w:w="6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Style w:val="Heading2"/>
        <w:spacing w:after="100" w:before="240"/>
      </w:pPr>
      <w:r>
        <w:rPr>
          <w:color w:val="1F4E79"/>
        </w:rPr>
        <w:t xml:space="preserve">Sección 3 · Los prompts metacognitivos</w:t>
      </w:r>
    </w:p>
    <w:p>
      <w:pPr>
        <w:spacing w:after="120"/>
      </w:pPr>
      <w:r>
        <w:rPr>
          <w:b w:val="false"/>
          <w:bCs w:val="false"/>
          <w:i w:val="false"/>
          <w:iCs w:val="false"/>
        </w:rPr>
        <w:t xml:space="preserve">Traiga los cuatro del módulo 3 y ubíquelos en el momento de la secuencia donde van.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CE6F1" w:val="clear"/>
            <w:tcMar>
              <w:top w:type="dxa" w:w="80"/>
              <w:left w:type="dxa" w:w="120"/>
              <w:bottom w:type="dxa" w:w="80"/>
              <w:right w:type="dxa" w:w="120"/>
            </w:tcMar>
          </w:tcPr>
          <w:p>
            <w:r>
              <w:rPr>
                <w:b/>
                <w:bCs/>
                <w:sz w:val="19"/>
                <w:szCs w:val="19"/>
              </w:rPr>
              <w:t xml:space="preserve">Instrumento</w:t>
            </w:r>
          </w:p>
        </w:tc>
        <w:tc>
          <w:tcPr>
            <w:tcW w:type="dxa" w:w="4000"/>
            <w:shd w:fill="DCE6F1" w:val="clear"/>
            <w:tcMar>
              <w:top w:type="dxa" w:w="80"/>
              <w:left w:type="dxa" w:w="120"/>
              <w:bottom w:type="dxa" w:w="80"/>
              <w:right w:type="dxa" w:w="120"/>
            </w:tcMar>
          </w:tcPr>
          <w:p>
            <w:r>
              <w:rPr>
                <w:b/>
                <w:bCs/>
                <w:sz w:val="19"/>
                <w:szCs w:val="19"/>
              </w:rPr>
              <w:t xml:space="preserve">El prompt</w:t>
            </w:r>
          </w:p>
        </w:tc>
        <w:tc>
          <w:tcPr>
            <w:tcW w:type="dxa" w:w="3000"/>
            <w:shd w:fill="DCE6F1" w:val="clear"/>
            <w:tcMar>
              <w:top w:type="dxa" w:w="80"/>
              <w:left w:type="dxa" w:w="120"/>
              <w:bottom w:type="dxa" w:w="80"/>
              <w:right w:type="dxa" w:w="120"/>
            </w:tcMar>
          </w:tcPr>
          <w:p>
            <w:r>
              <w:rPr>
                <w:b/>
                <w:bCs/>
                <w:sz w:val="19"/>
                <w:szCs w:val="19"/>
              </w:rPr>
              <w:t xml:space="preserve">Momento exacto en mi unidad</w:t>
            </w:r>
          </w:p>
        </w:tc>
      </w:tr>
      <w:tr>
        <w:tc>
          <w:tcPr>
            <w:tcW w:type="dxa" w:w="2200"/>
            <w:tcMar>
              <w:top w:type="dxa" w:w="80"/>
              <w:left w:type="dxa" w:w="120"/>
              <w:bottom w:type="dxa" w:w="80"/>
              <w:right w:type="dxa" w:w="120"/>
            </w:tcMar>
          </w:tcPr>
          <w:p>
            <w:r>
              <w:rPr>
                <w:b w:val="false"/>
                <w:bCs w:val="false"/>
                <w:sz w:val="19"/>
                <w:szCs w:val="19"/>
              </w:rPr>
              <w:t xml:space="preserve">Especificar metas</w:t>
            </w:r>
          </w:p>
        </w:tc>
        <w:tc>
          <w:tcPr>
            <w:tcW w:type="dxa" w:w="4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3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Monitorear el proceso</w:t>
            </w:r>
          </w:p>
        </w:tc>
        <w:tc>
          <w:tcPr>
            <w:tcW w:type="dxa" w:w="4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3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Monitorear la claridad</w:t>
            </w:r>
          </w:p>
        </w:tc>
        <w:tc>
          <w:tcPr>
            <w:tcW w:type="dxa" w:w="4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3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200"/>
            <w:tcMar>
              <w:top w:type="dxa" w:w="80"/>
              <w:left w:type="dxa" w:w="120"/>
              <w:bottom w:type="dxa" w:w="80"/>
              <w:right w:type="dxa" w:w="120"/>
            </w:tcMar>
          </w:tcPr>
          <w:p>
            <w:r>
              <w:rPr>
                <w:b w:val="false"/>
                <w:bCs w:val="false"/>
                <w:sz w:val="19"/>
                <w:szCs w:val="19"/>
              </w:rPr>
              <w:t xml:space="preserve">Monitorear la precisión</w:t>
            </w:r>
          </w:p>
        </w:tc>
        <w:tc>
          <w:tcPr>
            <w:tcW w:type="dxa" w:w="4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3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Style w:val="Heading2"/>
        <w:spacing w:after="100" w:before="240"/>
      </w:pPr>
      <w:r>
        <w:rPr>
          <w:color w:val="1F4E79"/>
        </w:rPr>
        <w:t xml:space="preserve">Sección 4 · El plan de evaluación</w:t>
      </w:r>
    </w:p>
    <w:p>
      <w:pPr>
        <w:spacing w:after="120"/>
      </w:pPr>
      <w:r>
        <w:rPr>
          <w:b w:val="false"/>
          <w:bCs w:val="false"/>
          <w:i w:val="false"/>
          <w:iCs w:val="false"/>
        </w:rPr>
        <w:t xml:space="preserve">Para cada objetivo, la evidencia que le corresponde. Compruebe el techo de cada instrumento.</w:t>
      </w:r>
    </w:p>
    <w:p>
      <w:pPr>
        <w:pBdr>
          <w:left w:val="single" w:color="C99A1E" w:sz="18"/>
        </w:pBdr>
        <w:spacing w:after="200" w:before="120"/>
        <w:ind w:left="200"/>
      </w:pPr>
      <w:r>
        <w:rPr>
          <w:i/>
          <w:iCs/>
        </w:rPr>
        <w:t xml:space="preserve">Regla firme: ningún objetivo puede quedar evaluado por un instrumento que no llega a su nivel. Y debe incluir al menos un instrumento para los niveles 5 o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DCE6F1" w:val="clear"/>
            <w:tcMar>
              <w:top w:type="dxa" w:w="80"/>
              <w:left w:type="dxa" w:w="120"/>
              <w:bottom w:type="dxa" w:w="80"/>
              <w:right w:type="dxa" w:w="120"/>
            </w:tcMar>
          </w:tcPr>
          <w:p>
            <w:r>
              <w:rPr>
                <w:b/>
                <w:bCs/>
                <w:sz w:val="19"/>
                <w:szCs w:val="19"/>
              </w:rPr>
              <w:t xml:space="preserve">Objetivo (o su celda)</w:t>
            </w:r>
          </w:p>
        </w:tc>
        <w:tc>
          <w:tcPr>
            <w:tcW w:type="dxa" w:w="2800"/>
            <w:shd w:fill="DCE6F1" w:val="clear"/>
            <w:tcMar>
              <w:top w:type="dxa" w:w="80"/>
              <w:left w:type="dxa" w:w="120"/>
              <w:bottom w:type="dxa" w:w="80"/>
              <w:right w:type="dxa" w:w="120"/>
            </w:tcMar>
          </w:tcPr>
          <w:p>
            <w:r>
              <w:rPr>
                <w:b/>
                <w:bCs/>
                <w:sz w:val="19"/>
                <w:szCs w:val="19"/>
              </w:rPr>
              <w:t xml:space="preserve">Evidencia / instrumento</w:t>
            </w:r>
          </w:p>
        </w:tc>
        <w:tc>
          <w:tcPr>
            <w:tcW w:type="dxa" w:w="2000"/>
            <w:shd w:fill="DCE6F1" w:val="clear"/>
            <w:tcMar>
              <w:top w:type="dxa" w:w="80"/>
              <w:left w:type="dxa" w:w="120"/>
              <w:bottom w:type="dxa" w:w="80"/>
              <w:right w:type="dxa" w:w="120"/>
            </w:tcMar>
          </w:tcPr>
          <w:p>
            <w:r>
              <w:rPr>
                <w:b/>
                <w:bCs/>
                <w:sz w:val="19"/>
                <w:szCs w:val="19"/>
              </w:rPr>
              <w:t xml:space="preserve">Techo del instrumento</w:t>
            </w:r>
          </w:p>
        </w:tc>
        <w:tc>
          <w:tcPr>
            <w:tcW w:type="dxa" w:w="1800"/>
            <w:shd w:fill="DCE6F1" w:val="clear"/>
            <w:tcMar>
              <w:top w:type="dxa" w:w="80"/>
              <w:left w:type="dxa" w:w="120"/>
              <w:bottom w:type="dxa" w:w="80"/>
              <w:right w:type="dxa" w:w="120"/>
            </w:tcMar>
          </w:tcPr>
          <w:p>
            <w:r>
              <w:rPr>
                <w:b/>
                <w:bCs/>
                <w:sz w:val="19"/>
                <w:szCs w:val="19"/>
              </w:rPr>
              <w:t xml:space="preserve">¿Coincide?</w:t>
            </w:r>
          </w:p>
        </w:tc>
      </w:tr>
      <w:tr>
        <w:tc>
          <w:tcPr>
            <w:tcW w:type="dxa" w:w="26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6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6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6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6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6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600"/>
            <w:shd w:fill="DCE6F1" w:val="clear"/>
            <w:tcMar>
              <w:top w:type="dxa" w:w="80"/>
              <w:left w:type="dxa" w:w="120"/>
              <w:bottom w:type="dxa" w:w="80"/>
              <w:right w:type="dxa" w:w="120"/>
            </w:tcMar>
          </w:tcPr>
          <w:p>
            <w:r>
              <w:rPr>
                <w:b/>
                <w:bCs/>
                <w:sz w:val="19"/>
                <w:szCs w:val="19"/>
              </w:rPr>
              <w:t xml:space="preserve">Mi instrumento para los niveles 5 o 6</w:t>
            </w:r>
          </w:p>
        </w:tc>
        <w:tc>
          <w:tcPr>
            <w:tcW w:type="dxa" w:w="5600"/>
            <w:shd w:fill="DCE6F1" w:val="clear"/>
            <w:tcMar>
              <w:top w:type="dxa" w:w="80"/>
              <w:left w:type="dxa" w:w="120"/>
              <w:bottom w:type="dxa" w:w="80"/>
              <w:right w:type="dxa" w:w="120"/>
            </w:tcMar>
          </w:tcPr>
          <w:p>
            <w:r>
              <w:rPr>
                <w:b/>
                <w:bCs/>
                <w:sz w:val="19"/>
                <w:szCs w:val="19"/>
              </w:rPr>
              <w:t xml:space="preserve"/>
            </w:r>
          </w:p>
          <w:p>
            <w:r>
              <w:rPr>
                <w:b/>
                <w:bCs/>
                <w:sz w:val="19"/>
                <w:szCs w:val="19"/>
              </w:rPr>
              <w:t xml:space="preserve"/>
            </w:r>
          </w:p>
        </w:tc>
      </w:tr>
    </w:tbl>
    <w:p>
      <w:pPr>
        <w:pStyle w:val="Heading2"/>
        <w:spacing w:after="100" w:before="240"/>
      </w:pPr>
      <w:r>
        <w:rPr>
          <w:color w:val="1F4E79"/>
        </w:rPr>
        <w:t xml:space="preserve">Sección 5 · La rúbrica</w:t>
      </w:r>
    </w:p>
    <w:p>
      <w:pPr>
        <w:spacing w:after="120"/>
      </w:pPr>
      <w:r>
        <w:rPr>
          <w:b w:val="false"/>
          <w:bCs w:val="false"/>
          <w:i w:val="false"/>
          <w:iCs w:val="false"/>
        </w:rPr>
        <w:t xml:space="preserve">De cuatro a seis criterios en escala 0–4 para la evidencia principal de la unidad. Descriptores que describan lo que el estudiante hace, no cuánto entrega.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700"/>
            <w:shd w:fill="DCE6F1" w:val="clear"/>
            <w:tcMar>
              <w:top w:type="dxa" w:w="80"/>
              <w:left w:type="dxa" w:w="120"/>
              <w:bottom w:type="dxa" w:w="80"/>
              <w:right w:type="dxa" w:w="120"/>
            </w:tcMar>
          </w:tcPr>
          <w:p>
            <w:r>
              <w:rPr>
                <w:b/>
                <w:bCs/>
                <w:sz w:val="19"/>
                <w:szCs w:val="19"/>
              </w:rPr>
              <w:t xml:space="preserve">Criterio</w:t>
            </w:r>
          </w:p>
        </w:tc>
        <w:tc>
          <w:tcPr>
            <w:tcW w:type="dxa" w:w="1875"/>
            <w:shd w:fill="DCE6F1" w:val="clear"/>
            <w:tcMar>
              <w:top w:type="dxa" w:w="80"/>
              <w:left w:type="dxa" w:w="120"/>
              <w:bottom w:type="dxa" w:w="80"/>
              <w:right w:type="dxa" w:w="120"/>
            </w:tcMar>
          </w:tcPr>
          <w:p>
            <w:r>
              <w:rPr>
                <w:b/>
                <w:bCs/>
                <w:sz w:val="19"/>
                <w:szCs w:val="19"/>
              </w:rPr>
              <w:t xml:space="preserve">4.0 · Excede</w:t>
            </w:r>
          </w:p>
        </w:tc>
        <w:tc>
          <w:tcPr>
            <w:tcW w:type="dxa" w:w="1875"/>
            <w:shd w:fill="DCE6F1" w:val="clear"/>
            <w:tcMar>
              <w:top w:type="dxa" w:w="80"/>
              <w:left w:type="dxa" w:w="120"/>
              <w:bottom w:type="dxa" w:w="80"/>
              <w:right w:type="dxa" w:w="120"/>
            </w:tcMar>
          </w:tcPr>
          <w:p>
            <w:r>
              <w:rPr>
                <w:b/>
                <w:bCs/>
                <w:sz w:val="19"/>
                <w:szCs w:val="19"/>
              </w:rPr>
              <w:t xml:space="preserve">3.0 · LA META</w:t>
            </w:r>
          </w:p>
        </w:tc>
        <w:tc>
          <w:tcPr>
            <w:tcW w:type="dxa" w:w="1875"/>
            <w:shd w:fill="DCE6F1" w:val="clear"/>
            <w:tcMar>
              <w:top w:type="dxa" w:w="80"/>
              <w:left w:type="dxa" w:w="120"/>
              <w:bottom w:type="dxa" w:w="80"/>
              <w:right w:type="dxa" w:w="120"/>
            </w:tcMar>
          </w:tcPr>
          <w:p>
            <w:r>
              <w:rPr>
                <w:b/>
                <w:bCs/>
                <w:sz w:val="19"/>
                <w:szCs w:val="19"/>
              </w:rPr>
              <w:t xml:space="preserve">2.0 · Básico</w:t>
            </w:r>
          </w:p>
        </w:tc>
        <w:tc>
          <w:tcPr>
            <w:tcW w:type="dxa" w:w="1875"/>
            <w:shd w:fill="DCE6F1" w:val="clear"/>
            <w:tcMar>
              <w:top w:type="dxa" w:w="80"/>
              <w:left w:type="dxa" w:w="120"/>
              <w:bottom w:type="dxa" w:w="80"/>
              <w:right w:type="dxa" w:w="120"/>
            </w:tcMar>
          </w:tcPr>
          <w:p>
            <w:r>
              <w:rPr>
                <w:b/>
                <w:bCs/>
                <w:sz w:val="19"/>
                <w:szCs w:val="19"/>
              </w:rPr>
              <w:t xml:space="preserve">1.0 · Inicial</w:t>
            </w:r>
          </w:p>
        </w:tc>
      </w:tr>
      <w:tr>
        <w:tc>
          <w:tcPr>
            <w:tcW w:type="dxa" w:w="17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17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17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17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17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17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75"/>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Style w:val="Heading2"/>
        <w:spacing w:after="100" w:before="240"/>
      </w:pPr>
      <w:r>
        <w:rPr>
          <w:color w:val="1F4E79"/>
        </w:rPr>
        <w:t xml:space="preserve">Sección 6 · Su decisión sobre el marco</w:t>
      </w:r>
    </w:p>
    <w:p>
      <w:pPr>
        <w:spacing w:after="120"/>
      </w:pPr>
      <w:r>
        <w:rPr>
          <w:b w:val="false"/>
          <w:bCs w:val="false"/>
          <w:i w:val="false"/>
          <w:iCs w:val="false"/>
        </w:rPr>
        <w:t xml:space="preserve">Dos párrafos. Primero: en qué situaciones de su práctica va a usar la Taxonomía de Marzano y Kendall y en cuáles conviene otro marco. Segundo: cuál de los tres límites del modelo le preocupa más en su contexto concreto.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CE6F1" w:val="clear"/>
            <w:tcMar>
              <w:top w:type="dxa" w:w="80"/>
              <w:left w:type="dxa" w:w="120"/>
              <w:bottom w:type="dxa" w:w="80"/>
              <w:right w:type="dxa" w:w="120"/>
            </w:tcMar>
          </w:tcPr>
          <w:p>
            <w:r>
              <w:rPr>
                <w:b/>
                <w:bCs/>
                <w:sz w:val="19"/>
                <w:szCs w:val="19"/>
              </w:rPr>
              <w:t xml:space="preserve"> </w:t>
            </w:r>
          </w:p>
        </w:tc>
      </w:tr>
      <w:tr>
        <w:tc>
          <w:tcPr>
            <w:tcW w:type="dxa" w:w="9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9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9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9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9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9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9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9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Style w:val="Heading2"/>
        <w:spacing w:after="100" w:before="240"/>
      </w:pPr>
      <w:r>
        <w:rPr>
          <w:color w:val="1F4E79"/>
        </w:rPr>
        <w:t xml:space="preserve">Antes de cerrar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shd w:fill="DCE6F1" w:val="clear"/>
            <w:tcMar>
              <w:top w:type="dxa" w:w="80"/>
              <w:left w:type="dxa" w:w="120"/>
              <w:bottom w:type="dxa" w:w="80"/>
              <w:right w:type="dxa" w:w="120"/>
            </w:tcMar>
          </w:tcPr>
          <w:p>
            <w:r>
              <w:rPr>
                <w:b/>
                <w:bCs/>
                <w:sz w:val="19"/>
                <w:szCs w:val="19"/>
              </w:rPr>
              <w:t xml:space="preserve">Compruebe que…</w:t>
            </w:r>
          </w:p>
        </w:tc>
        <w:tc>
          <w:tcPr>
            <w:tcW w:type="dxa" w:w="2600"/>
            <w:shd w:fill="DCE6F1" w:val="clear"/>
            <w:tcMar>
              <w:top w:type="dxa" w:w="80"/>
              <w:left w:type="dxa" w:w="120"/>
              <w:bottom w:type="dxa" w:w="80"/>
              <w:right w:type="dxa" w:w="120"/>
            </w:tcMar>
          </w:tcPr>
          <w:p>
            <w:r>
              <w:rPr>
                <w:b/>
                <w:bCs/>
                <w:sz w:val="19"/>
                <w:szCs w:val="19"/>
              </w:rPr>
              <w:t xml:space="preserve">Sí / No</w:t>
            </w:r>
          </w:p>
        </w:tc>
      </w:tr>
      <w:tr>
        <w:tc>
          <w:tcPr>
            <w:tcW w:type="dxa" w:w="6600"/>
            <w:tcMar>
              <w:top w:type="dxa" w:w="80"/>
              <w:left w:type="dxa" w:w="120"/>
              <w:bottom w:type="dxa" w:w="80"/>
              <w:right w:type="dxa" w:w="120"/>
            </w:tcMar>
          </w:tcPr>
          <w:p>
            <w:r>
              <w:rPr>
                <w:b w:val="false"/>
                <w:bCs w:val="false"/>
                <w:sz w:val="19"/>
                <w:szCs w:val="19"/>
              </w:rPr>
              <w:t xml:space="preserve">Los seis apartados están completos</w:t>
            </w:r>
          </w:p>
        </w:tc>
        <w:tc>
          <w:tcPr>
            <w:tcW w:type="dxa" w:w="26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6600"/>
            <w:tcMar>
              <w:top w:type="dxa" w:w="80"/>
              <w:left w:type="dxa" w:w="120"/>
              <w:bottom w:type="dxa" w:w="80"/>
              <w:right w:type="dxa" w:w="120"/>
            </w:tcMar>
          </w:tcPr>
          <w:p>
            <w:r>
              <w:rPr>
                <w:b w:val="false"/>
                <w:bCs w:val="false"/>
                <w:sz w:val="19"/>
                <w:szCs w:val="19"/>
              </w:rPr>
              <w:t xml:space="preserve">Ningún objetivo está evaluado por un instrumento que no llega a su nivel</w:t>
            </w:r>
          </w:p>
        </w:tc>
        <w:tc>
          <w:tcPr>
            <w:tcW w:type="dxa" w:w="26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6600"/>
            <w:tcMar>
              <w:top w:type="dxa" w:w="80"/>
              <w:left w:type="dxa" w:w="120"/>
              <w:bottom w:type="dxa" w:w="80"/>
              <w:right w:type="dxa" w:w="120"/>
            </w:tcMar>
          </w:tcPr>
          <w:p>
            <w:r>
              <w:rPr>
                <w:b w:val="false"/>
                <w:bCs w:val="false"/>
                <w:sz w:val="19"/>
                <w:szCs w:val="19"/>
              </w:rPr>
              <w:t xml:space="preserve">Hay al menos un instrumento para los niveles 5 o 6</w:t>
            </w:r>
          </w:p>
        </w:tc>
        <w:tc>
          <w:tcPr>
            <w:tcW w:type="dxa" w:w="26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6600"/>
            <w:tcMar>
              <w:top w:type="dxa" w:w="80"/>
              <w:left w:type="dxa" w:w="120"/>
              <w:bottom w:type="dxa" w:w="80"/>
              <w:right w:type="dxa" w:w="120"/>
            </w:tcMar>
          </w:tcPr>
          <w:p>
            <w:r>
              <w:rPr>
                <w:b w:val="false"/>
                <w:bCs w:val="false"/>
                <w:sz w:val="19"/>
                <w:szCs w:val="19"/>
              </w:rPr>
              <w:t xml:space="preserve">La rúbrica describe lo que el estudiante hace, no cuánto entrega</w:t>
            </w:r>
          </w:p>
        </w:tc>
        <w:tc>
          <w:tcPr>
            <w:tcW w:type="dxa" w:w="26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6600"/>
            <w:tcMar>
              <w:top w:type="dxa" w:w="80"/>
              <w:left w:type="dxa" w:w="120"/>
              <w:bottom w:type="dxa" w:w="80"/>
              <w:right w:type="dxa" w:w="120"/>
            </w:tcMar>
          </w:tcPr>
          <w:p>
            <w:r>
              <w:rPr>
                <w:b w:val="false"/>
                <w:bCs w:val="false"/>
                <w:sz w:val="19"/>
                <w:szCs w:val="19"/>
              </w:rPr>
              <w:t xml:space="preserve">Dije en qué situaciones NO usaría este marco</w:t>
            </w:r>
          </w:p>
        </w:tc>
        <w:tc>
          <w:tcPr>
            <w:tcW w:type="dxa" w:w="26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Bdr>
          <w:left w:val="single" w:color="C99A1E" w:sz="18"/>
        </w:pBdr>
        <w:spacing w:after="200" w:before="120"/>
        <w:ind w:left="200"/>
      </w:pPr>
      <w:r>
        <w:rPr>
          <w:i/>
          <w:iCs/>
        </w:rPr>
        <w:t xml:space="preserve">Empezó este curso auditando una prueba que ya había aplicado. Termina con una unidad completa rediseñada. Entre las dos no cambió su asignatura, ni su grupo, ni el tiempo del que dispone: cambió lo que usted puede ver en su propio trabajo. Y eso, según el modelo que acaba de estudiar, es exactamente el nivel 5.</w:t>
      </w:r>
    </w:p>
    <w:p>
      <w:pPr>
        <w:pBdr>
          <w:top w:val="single" w:color="BFBFBF" w:sz="6"/>
        </w:pBdr>
        <w:spacing w:before="320"/>
      </w:pPr>
      <w:r>
        <w:rPr>
          <w:i/>
          <w:iCs/>
          <w:color w:val="595959"/>
          <w:sz w:val="18"/>
          <w:szCs w:val="18"/>
        </w:rPr>
        <w:t xml:space="preserve">Material del curso “La Taxonomía de Marzano y Kendall: diseñar y evaluar por niveles de control consciente” · Módulo 6 · Plantilla del diseño final · Uso educativo.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2026-08-05T02:32:10.972Z</dcterms:created>
  <dcterms:modified xsi:type="dcterms:W3CDTF">2026-08-05T02:32:10.972Z</dcterms:modified>
</cp:coreProperties>
</file>

<file path=docProps/custom.xml><?xml version="1.0" encoding="utf-8"?>
<Properties xmlns="http://schemas.openxmlformats.org/officeDocument/2006/custom-properties" xmlns:vt="http://schemas.openxmlformats.org/officeDocument/2006/docPropsVTypes"/>
</file>