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La Taxonomía de Marzano y Kendall: diseñar y evaluar por niveles de control consciente</w:t>
      </w:r>
    </w:p>
    <w:p>
      <w:pPr>
        <w:pStyle w:val="Title"/>
        <w:spacing w:after="120"/>
      </w:pPr>
      <w:r>
        <w:rPr>
          <w:color w:val="1F4E79"/>
        </w:rPr>
        <w:t xml:space="preserve">La escala 0–4</w:t>
      </w:r>
    </w:p>
    <w:p>
      <w:pPr>
        <w:spacing w:after="240"/>
      </w:pPr>
      <w:r>
        <w:rPr>
          <w:b/>
          <w:bCs/>
          <w:sz w:val="26"/>
          <w:szCs w:val="26"/>
        </w:rPr>
        <w:t xml:space="preserve">Unidad 6.3 · La escala de proficiencia de Marzano</w:t>
      </w:r>
    </w:p>
    <w:p>
      <w:pPr>
        <w:pStyle w:val="Heading2"/>
        <w:spacing w:after="100" w:before="240"/>
      </w:pPr>
      <w:r>
        <w:rPr>
          <w:color w:val="1F4E79"/>
        </w:rPr>
        <w:t xml:space="preserve">Qué hace mal el promedio</w:t>
      </w:r>
    </w:p>
    <w:p>
      <w:pPr>
        <w:spacing w:after="120"/>
      </w:pPr>
      <w:r>
        <w:rPr>
          <w:b w:val="false"/>
          <w:bCs w:val="false"/>
          <w:i w:val="false"/>
          <w:iCs w:val="false"/>
        </w:rPr>
        <w:t xml:space="preserve">El promedio trata todas las entregas como si fueran la misma medición repetida. Y no lo son: son momentos distintos de un aprendizaje.</w:t>
      </w:r>
    </w:p>
    <w:p>
      <w:pPr>
        <w:spacing w:after="120"/>
      </w:pPr>
      <w:r>
        <w:rPr>
          <w:b w:val="false"/>
          <w:bCs w:val="false"/>
          <w:i w:val="false"/>
          <w:iCs w:val="false"/>
        </w:rPr>
        <w:t xml:space="preserve">Cuando se promedia, el error del principio —que es el momento en que el estudiante estaba aprendiendo— pesa igual que el logro del final, que es el momento en que ya aprendió. El resultado castiga exactamente lo que queríamos que ocurriera: intentar, equivocarse y corregir.</w:t>
      </w:r>
    </w:p>
    <w:p>
      <w:pPr>
        <w:pBdr>
          <w:left w:val="single" w:color="C99A1E" w:sz="18"/>
        </w:pBdr>
        <w:spacing w:after="200" w:before="120"/>
        <w:ind w:left="200"/>
      </w:pPr>
      <w:r>
        <w:rPr>
          <w:i/>
          <w:iCs/>
        </w:rPr>
        <w:t xml:space="preserve">Y produce un efecto perverso muy conocido: al estudiante que empezó mal le conviene NO ARRIESGAR el resto del curso, porque ya no puede recuperar la nota. El promedio premia la prudencia, no el aprendizaje.</w:t>
      </w:r>
    </w:p>
    <w:p>
      <w:pPr>
        <w:pStyle w:val="Heading2"/>
        <w:spacing w:after="100" w:before="240"/>
      </w:pPr>
      <w:r>
        <w:rPr>
          <w:color w:val="1F4E79"/>
        </w:rPr>
        <w:t xml:space="preserve">La escala completa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100"/>
            <w:shd w:fill="DCE6F1" w:val="clear"/>
            <w:tcMar>
              <w:top w:type="dxa" w:w="80"/>
              <w:left w:type="dxa" w:w="120"/>
              <w:bottom w:type="dxa" w:w="80"/>
              <w:right w:type="dxa" w:w="120"/>
            </w:tcMar>
          </w:tcPr>
          <w:p>
            <w:r>
              <w:rPr>
                <w:b/>
                <w:bCs/>
                <w:sz w:val="19"/>
                <w:szCs w:val="19"/>
              </w:rPr>
              <w:t xml:space="preserve">Puntaje</w:t>
            </w:r>
          </w:p>
        </w:tc>
        <w:tc>
          <w:tcPr>
            <w:tcW w:type="dxa" w:w="2600"/>
            <w:shd w:fill="DCE6F1" w:val="clear"/>
            <w:tcMar>
              <w:top w:type="dxa" w:w="80"/>
              <w:left w:type="dxa" w:w="120"/>
              <w:bottom w:type="dxa" w:w="80"/>
              <w:right w:type="dxa" w:w="120"/>
            </w:tcMar>
          </w:tcPr>
          <w:p>
            <w:r>
              <w:rPr>
                <w:b/>
                <w:bCs/>
                <w:sz w:val="19"/>
                <w:szCs w:val="19"/>
              </w:rPr>
              <w:t xml:space="preserve">Nivel</w:t>
            </w:r>
          </w:p>
        </w:tc>
        <w:tc>
          <w:tcPr>
            <w:tcW w:type="dxa" w:w="5500"/>
            <w:shd w:fill="DCE6F1" w:val="clear"/>
            <w:tcMar>
              <w:top w:type="dxa" w:w="80"/>
              <w:left w:type="dxa" w:w="120"/>
              <w:bottom w:type="dxa" w:w="80"/>
              <w:right w:type="dxa" w:w="120"/>
            </w:tcMar>
          </w:tcPr>
          <w:p>
            <w:r>
              <w:rPr>
                <w:b/>
                <w:bCs/>
                <w:sz w:val="19"/>
                <w:szCs w:val="19"/>
              </w:rPr>
              <w:t xml:space="preserve">Qué demuestra el estudiante</w:t>
            </w:r>
          </w:p>
        </w:tc>
      </w:tr>
      <w:tr>
        <w:tc>
          <w:tcPr>
            <w:tcW w:type="dxa" w:w="1100"/>
            <w:tcMar>
              <w:top w:type="dxa" w:w="80"/>
              <w:left w:type="dxa" w:w="120"/>
              <w:bottom w:type="dxa" w:w="80"/>
              <w:right w:type="dxa" w:w="120"/>
            </w:tcMar>
          </w:tcPr>
          <w:p>
            <w:r>
              <w:rPr>
                <w:b w:val="false"/>
                <w:bCs w:val="false"/>
                <w:sz w:val="19"/>
                <w:szCs w:val="19"/>
              </w:rPr>
              <w:t xml:space="preserve">4.0</w:t>
            </w:r>
          </w:p>
        </w:tc>
        <w:tc>
          <w:tcPr>
            <w:tcW w:type="dxa" w:w="2600"/>
            <w:tcMar>
              <w:top w:type="dxa" w:w="80"/>
              <w:left w:type="dxa" w:w="120"/>
              <w:bottom w:type="dxa" w:w="80"/>
              <w:right w:type="dxa" w:w="120"/>
            </w:tcMar>
          </w:tcPr>
          <w:p>
            <w:r>
              <w:rPr>
                <w:b w:val="false"/>
                <w:bCs w:val="false"/>
                <w:sz w:val="19"/>
                <w:szCs w:val="19"/>
              </w:rPr>
              <w:t xml:space="preserve">Excede el estándar</w:t>
            </w:r>
          </w:p>
        </w:tc>
        <w:tc>
          <w:tcPr>
            <w:tcW w:type="dxa" w:w="5500"/>
            <w:tcMar>
              <w:top w:type="dxa" w:w="80"/>
              <w:left w:type="dxa" w:w="120"/>
              <w:bottom w:type="dxa" w:w="80"/>
              <w:right w:type="dxa" w:w="120"/>
            </w:tcMar>
          </w:tcPr>
          <w:p>
            <w:r>
              <w:rPr>
                <w:b w:val="false"/>
                <w:bCs w:val="false"/>
                <w:sz w:val="19"/>
                <w:szCs w:val="19"/>
              </w:rPr>
              <w:t xml:space="preserve">Aplica lo aprendido de forma autónoma a situaciones nuevas, resuelve problemas complejos, propone predicciones fundamentadas.</w:t>
            </w:r>
          </w:p>
        </w:tc>
      </w:tr>
      <w:tr>
        <w:tc>
          <w:tcPr>
            <w:tcW w:type="dxa" w:w="1100"/>
            <w:tcMar>
              <w:top w:type="dxa" w:w="80"/>
              <w:left w:type="dxa" w:w="120"/>
              <w:bottom w:type="dxa" w:w="80"/>
              <w:right w:type="dxa" w:w="120"/>
            </w:tcMar>
          </w:tcPr>
          <w:p>
            <w:r>
              <w:rPr>
                <w:b w:val="false"/>
                <w:bCs w:val="false"/>
                <w:sz w:val="19"/>
                <w:szCs w:val="19"/>
              </w:rPr>
              <w:t xml:space="preserve">3.5</w:t>
            </w:r>
          </w:p>
        </w:tc>
        <w:tc>
          <w:tcPr>
            <w:tcW w:type="dxa" w:w="2600"/>
            <w:tcMar>
              <w:top w:type="dxa" w:w="80"/>
              <w:left w:type="dxa" w:w="120"/>
              <w:bottom w:type="dxa" w:w="80"/>
              <w:right w:type="dxa" w:w="120"/>
            </w:tcMar>
          </w:tcPr>
          <w:p>
            <w:r>
              <w:rPr>
                <w:b w:val="false"/>
                <w:bCs w:val="false"/>
                <w:sz w:val="19"/>
                <w:szCs w:val="19"/>
              </w:rPr>
              <w:t xml:space="preserve">Entre proficiente y excedente</w:t>
            </w:r>
          </w:p>
        </w:tc>
        <w:tc>
          <w:tcPr>
            <w:tcW w:type="dxa" w:w="5500"/>
            <w:tcMar>
              <w:top w:type="dxa" w:w="80"/>
              <w:left w:type="dxa" w:w="120"/>
              <w:bottom w:type="dxa" w:w="80"/>
              <w:right w:type="dxa" w:w="120"/>
            </w:tcMar>
          </w:tcPr>
          <w:p>
            <w:r>
              <w:rPr>
                <w:b w:val="false"/>
                <w:bCs w:val="false"/>
                <w:sz w:val="19"/>
                <w:szCs w:val="19"/>
              </w:rPr>
              <w:t xml:space="preserve">Domina el 3.0 de forma independiente y en ocasiones alcanza el 4.0.</w:t>
            </w:r>
          </w:p>
        </w:tc>
      </w:tr>
      <w:tr>
        <w:tc>
          <w:tcPr>
            <w:tcW w:type="dxa" w:w="1100"/>
            <w:tcMar>
              <w:top w:type="dxa" w:w="80"/>
              <w:left w:type="dxa" w:w="120"/>
              <w:bottom w:type="dxa" w:w="80"/>
              <w:right w:type="dxa" w:w="120"/>
            </w:tcMar>
          </w:tcPr>
          <w:p>
            <w:r>
              <w:rPr>
                <w:b w:val="false"/>
                <w:bCs w:val="false"/>
                <w:sz w:val="19"/>
                <w:szCs w:val="19"/>
              </w:rPr>
              <w:t xml:space="preserve">3.0</w:t>
            </w:r>
          </w:p>
        </w:tc>
        <w:tc>
          <w:tcPr>
            <w:tcW w:type="dxa" w:w="2600"/>
            <w:tcMar>
              <w:top w:type="dxa" w:w="80"/>
              <w:left w:type="dxa" w:w="120"/>
              <w:bottom w:type="dxa" w:w="80"/>
              <w:right w:type="dxa" w:w="120"/>
            </w:tcMar>
          </w:tcPr>
          <w:p>
            <w:r>
              <w:rPr>
                <w:b w:val="false"/>
                <w:bCs w:val="false"/>
                <w:sz w:val="19"/>
                <w:szCs w:val="19"/>
              </w:rPr>
              <w:t xml:space="preserve">CUMPLE EL ESTÁNDAR — LA META</w:t>
            </w:r>
          </w:p>
        </w:tc>
        <w:tc>
          <w:tcPr>
            <w:tcW w:type="dxa" w:w="5500"/>
            <w:tcMar>
              <w:top w:type="dxa" w:w="80"/>
              <w:left w:type="dxa" w:w="120"/>
              <w:bottom w:type="dxa" w:w="80"/>
              <w:right w:type="dxa" w:w="120"/>
            </w:tcMar>
          </w:tcPr>
          <w:p>
            <w:r>
              <w:rPr>
                <w:b w:val="false"/>
                <w:bCs w:val="false"/>
                <w:sz w:val="19"/>
                <w:szCs w:val="19"/>
              </w:rPr>
              <w:t xml:space="preserve">Domina todo lo esperado sin errores de fondo, de forma independiente. Todos deben poder alcanzarla.</w:t>
            </w:r>
          </w:p>
        </w:tc>
      </w:tr>
      <w:tr>
        <w:tc>
          <w:tcPr>
            <w:tcW w:type="dxa" w:w="1100"/>
            <w:tcMar>
              <w:top w:type="dxa" w:w="80"/>
              <w:left w:type="dxa" w:w="120"/>
              <w:bottom w:type="dxa" w:w="80"/>
              <w:right w:type="dxa" w:w="120"/>
            </w:tcMar>
          </w:tcPr>
          <w:p>
            <w:r>
              <w:rPr>
                <w:b w:val="false"/>
                <w:bCs w:val="false"/>
                <w:sz w:val="19"/>
                <w:szCs w:val="19"/>
              </w:rPr>
              <w:t xml:space="preserve">2.5</w:t>
            </w:r>
          </w:p>
        </w:tc>
        <w:tc>
          <w:tcPr>
            <w:tcW w:type="dxa" w:w="2600"/>
            <w:tcMar>
              <w:top w:type="dxa" w:w="80"/>
              <w:left w:type="dxa" w:w="120"/>
              <w:bottom w:type="dxa" w:w="80"/>
              <w:right w:type="dxa" w:w="120"/>
            </w:tcMar>
          </w:tcPr>
          <w:p>
            <w:r>
              <w:rPr>
                <w:b w:val="false"/>
                <w:bCs w:val="false"/>
                <w:sz w:val="19"/>
                <w:szCs w:val="19"/>
              </w:rPr>
              <w:t xml:space="preserve">Entre básico y proficiente</w:t>
            </w:r>
          </w:p>
        </w:tc>
        <w:tc>
          <w:tcPr>
            <w:tcW w:type="dxa" w:w="5500"/>
            <w:tcMar>
              <w:top w:type="dxa" w:w="80"/>
              <w:left w:type="dxa" w:w="120"/>
              <w:bottom w:type="dxa" w:w="80"/>
              <w:right w:type="dxa" w:w="120"/>
            </w:tcMar>
          </w:tcPr>
          <w:p>
            <w:r>
              <w:rPr>
                <w:b w:val="false"/>
                <w:bCs w:val="false"/>
                <w:sz w:val="19"/>
                <w:szCs w:val="19"/>
              </w:rPr>
              <w:t xml:space="preserve">Domina lo básico y se aproxima al nivel proficiente.</w:t>
            </w:r>
          </w:p>
        </w:tc>
      </w:tr>
      <w:tr>
        <w:tc>
          <w:tcPr>
            <w:tcW w:type="dxa" w:w="1100"/>
            <w:tcMar>
              <w:top w:type="dxa" w:w="80"/>
              <w:left w:type="dxa" w:w="120"/>
              <w:bottom w:type="dxa" w:w="80"/>
              <w:right w:type="dxa" w:w="120"/>
            </w:tcMar>
          </w:tcPr>
          <w:p>
            <w:r>
              <w:rPr>
                <w:b w:val="false"/>
                <w:bCs w:val="false"/>
                <w:sz w:val="19"/>
                <w:szCs w:val="19"/>
              </w:rPr>
              <w:t xml:space="preserve">2.0</w:t>
            </w:r>
          </w:p>
        </w:tc>
        <w:tc>
          <w:tcPr>
            <w:tcW w:type="dxa" w:w="2600"/>
            <w:tcMar>
              <w:top w:type="dxa" w:w="80"/>
              <w:left w:type="dxa" w:w="120"/>
              <w:bottom w:type="dxa" w:w="80"/>
              <w:right w:type="dxa" w:w="120"/>
            </w:tcMar>
          </w:tcPr>
          <w:p>
            <w:r>
              <w:rPr>
                <w:b w:val="false"/>
                <w:bCs w:val="false"/>
                <w:sz w:val="19"/>
                <w:szCs w:val="19"/>
              </w:rPr>
              <w:t xml:space="preserve">Básico</w:t>
            </w:r>
          </w:p>
        </w:tc>
        <w:tc>
          <w:tcPr>
            <w:tcW w:type="dxa" w:w="5500"/>
            <w:tcMar>
              <w:top w:type="dxa" w:w="80"/>
              <w:left w:type="dxa" w:w="120"/>
              <w:bottom w:type="dxa" w:w="80"/>
              <w:right w:type="dxa" w:w="120"/>
            </w:tcMar>
          </w:tcPr>
          <w:p>
            <w:r>
              <w:rPr>
                <w:b w:val="false"/>
                <w:bCs w:val="false"/>
                <w:sz w:val="19"/>
                <w:szCs w:val="19"/>
              </w:rPr>
              <w:t xml:space="preserve">Domina el vocabulario, los hechos y los procedimientos simples. No resuelve solo las tareas del 3.0.</w:t>
            </w:r>
          </w:p>
        </w:tc>
      </w:tr>
      <w:tr>
        <w:tc>
          <w:tcPr>
            <w:tcW w:type="dxa" w:w="1100"/>
            <w:tcMar>
              <w:top w:type="dxa" w:w="80"/>
              <w:left w:type="dxa" w:w="120"/>
              <w:bottom w:type="dxa" w:w="80"/>
              <w:right w:type="dxa" w:w="120"/>
            </w:tcMar>
          </w:tcPr>
          <w:p>
            <w:r>
              <w:rPr>
                <w:b w:val="false"/>
                <w:bCs w:val="false"/>
                <w:sz w:val="19"/>
                <w:szCs w:val="19"/>
              </w:rPr>
              <w:t xml:space="preserve">1.5</w:t>
            </w:r>
          </w:p>
        </w:tc>
        <w:tc>
          <w:tcPr>
            <w:tcW w:type="dxa" w:w="2600"/>
            <w:tcMar>
              <w:top w:type="dxa" w:w="80"/>
              <w:left w:type="dxa" w:w="120"/>
              <w:bottom w:type="dxa" w:w="80"/>
              <w:right w:type="dxa" w:w="120"/>
            </w:tcMar>
          </w:tcPr>
          <w:p>
            <w:r>
              <w:rPr>
                <w:b w:val="false"/>
                <w:bCs w:val="false"/>
                <w:sz w:val="19"/>
                <w:szCs w:val="19"/>
              </w:rPr>
              <w:t xml:space="preserve">Entre inicial y básico</w:t>
            </w:r>
          </w:p>
        </w:tc>
        <w:tc>
          <w:tcPr>
            <w:tcW w:type="dxa" w:w="5500"/>
            <w:tcMar>
              <w:top w:type="dxa" w:w="80"/>
              <w:left w:type="dxa" w:w="120"/>
              <w:bottom w:type="dxa" w:w="80"/>
              <w:right w:type="dxa" w:w="120"/>
            </w:tcMar>
          </w:tcPr>
          <w:p>
            <w:r>
              <w:rPr>
                <w:b w:val="false"/>
                <w:bCs w:val="false"/>
                <w:sz w:val="19"/>
                <w:szCs w:val="19"/>
              </w:rPr>
              <w:t xml:space="preserve">Conocimiento fragmentario de lo básico; necesita apoyo frecuente.</w:t>
            </w:r>
          </w:p>
        </w:tc>
      </w:tr>
      <w:tr>
        <w:tc>
          <w:tcPr>
            <w:tcW w:type="dxa" w:w="1100"/>
            <w:tcMar>
              <w:top w:type="dxa" w:w="80"/>
              <w:left w:type="dxa" w:w="120"/>
              <w:bottom w:type="dxa" w:w="80"/>
              <w:right w:type="dxa" w:w="120"/>
            </w:tcMar>
          </w:tcPr>
          <w:p>
            <w:r>
              <w:rPr>
                <w:b w:val="false"/>
                <w:bCs w:val="false"/>
                <w:sz w:val="19"/>
                <w:szCs w:val="19"/>
              </w:rPr>
              <w:t xml:space="preserve">1.0</w:t>
            </w:r>
          </w:p>
        </w:tc>
        <w:tc>
          <w:tcPr>
            <w:tcW w:type="dxa" w:w="2600"/>
            <w:tcMar>
              <w:top w:type="dxa" w:w="80"/>
              <w:left w:type="dxa" w:w="120"/>
              <w:bottom w:type="dxa" w:w="80"/>
              <w:right w:type="dxa" w:w="120"/>
            </w:tcMar>
          </w:tcPr>
          <w:p>
            <w:r>
              <w:rPr>
                <w:b w:val="false"/>
                <w:bCs w:val="false"/>
                <w:sz w:val="19"/>
                <w:szCs w:val="19"/>
              </w:rPr>
              <w:t xml:space="preserve">Inicial</w:t>
            </w:r>
          </w:p>
        </w:tc>
        <w:tc>
          <w:tcPr>
            <w:tcW w:type="dxa" w:w="5500"/>
            <w:tcMar>
              <w:top w:type="dxa" w:w="80"/>
              <w:left w:type="dxa" w:w="120"/>
              <w:bottom w:type="dxa" w:w="80"/>
              <w:right w:type="dxa" w:w="120"/>
            </w:tcMar>
          </w:tcPr>
          <w:p>
            <w:r>
              <w:rPr>
                <w:b w:val="false"/>
                <w:bCs w:val="false"/>
                <w:sz w:val="19"/>
                <w:szCs w:val="19"/>
              </w:rPr>
              <w:t xml:space="preserve">Solo demuestra comprensión con apoyo directo y guía paso a paso.</w:t>
            </w:r>
          </w:p>
        </w:tc>
      </w:tr>
      <w:tr>
        <w:tc>
          <w:tcPr>
            <w:tcW w:type="dxa" w:w="1100"/>
            <w:tcMar>
              <w:top w:type="dxa" w:w="80"/>
              <w:left w:type="dxa" w:w="120"/>
              <w:bottom w:type="dxa" w:w="80"/>
              <w:right w:type="dxa" w:w="120"/>
            </w:tcMar>
          </w:tcPr>
          <w:p>
            <w:r>
              <w:rPr>
                <w:b w:val="false"/>
                <w:bCs w:val="false"/>
                <w:sz w:val="19"/>
                <w:szCs w:val="19"/>
              </w:rPr>
              <w:t xml:space="preserve">0.5</w:t>
            </w:r>
          </w:p>
        </w:tc>
        <w:tc>
          <w:tcPr>
            <w:tcW w:type="dxa" w:w="2600"/>
            <w:tcMar>
              <w:top w:type="dxa" w:w="80"/>
              <w:left w:type="dxa" w:w="120"/>
              <w:bottom w:type="dxa" w:w="80"/>
              <w:right w:type="dxa" w:w="120"/>
            </w:tcMar>
          </w:tcPr>
          <w:p>
            <w:r>
              <w:rPr>
                <w:b w:val="false"/>
                <w:bCs w:val="false"/>
                <w:sz w:val="19"/>
                <w:szCs w:val="19"/>
              </w:rPr>
              <w:t xml:space="preserve">Mínimo</w:t>
            </w:r>
          </w:p>
        </w:tc>
        <w:tc>
          <w:tcPr>
            <w:tcW w:type="dxa" w:w="5500"/>
            <w:tcMar>
              <w:top w:type="dxa" w:w="80"/>
              <w:left w:type="dxa" w:w="120"/>
              <w:bottom w:type="dxa" w:w="80"/>
              <w:right w:type="dxa" w:w="120"/>
            </w:tcMar>
          </w:tcPr>
          <w:p>
            <w:r>
              <w:rPr>
                <w:b w:val="false"/>
                <w:bCs w:val="false"/>
                <w:sz w:val="19"/>
                <w:szCs w:val="19"/>
              </w:rPr>
              <w:t xml:space="preserve">Incluso con apoyo continuo apenas logra tareas mínimas.</w:t>
            </w:r>
          </w:p>
        </w:tc>
      </w:tr>
      <w:tr>
        <w:tc>
          <w:tcPr>
            <w:tcW w:type="dxa" w:w="1100"/>
            <w:tcMar>
              <w:top w:type="dxa" w:w="80"/>
              <w:left w:type="dxa" w:w="120"/>
              <w:bottom w:type="dxa" w:w="80"/>
              <w:right w:type="dxa" w:w="120"/>
            </w:tcMar>
          </w:tcPr>
          <w:p>
            <w:r>
              <w:rPr>
                <w:b w:val="false"/>
                <w:bCs w:val="false"/>
                <w:sz w:val="19"/>
                <w:szCs w:val="19"/>
              </w:rPr>
              <w:t xml:space="preserve">0.0</w:t>
            </w:r>
          </w:p>
        </w:tc>
        <w:tc>
          <w:tcPr>
            <w:tcW w:type="dxa" w:w="2600"/>
            <w:tcMar>
              <w:top w:type="dxa" w:w="80"/>
              <w:left w:type="dxa" w:w="120"/>
              <w:bottom w:type="dxa" w:w="80"/>
              <w:right w:type="dxa" w:w="120"/>
            </w:tcMar>
          </w:tcPr>
          <w:p>
            <w:r>
              <w:rPr>
                <w:b w:val="false"/>
                <w:bCs w:val="false"/>
                <w:sz w:val="19"/>
                <w:szCs w:val="19"/>
              </w:rPr>
              <w:t xml:space="preserve">Sin evidencia</w:t>
            </w:r>
          </w:p>
        </w:tc>
        <w:tc>
          <w:tcPr>
            <w:tcW w:type="dxa" w:w="5500"/>
            <w:tcMar>
              <w:top w:type="dxa" w:w="80"/>
              <w:left w:type="dxa" w:w="120"/>
              <w:bottom w:type="dxa" w:w="80"/>
              <w:right w:type="dxa" w:w="120"/>
            </w:tcMar>
          </w:tcPr>
          <w:p>
            <w:r>
              <w:rPr>
                <w:b w:val="false"/>
                <w:bCs w:val="false"/>
                <w:sz w:val="19"/>
                <w:szCs w:val="19"/>
              </w:rPr>
              <w:t xml:space="preserve">No demuestra comprensión ni con andamiaje directo.</w:t>
            </w:r>
          </w:p>
        </w:tc>
      </w:tr>
    </w:tbl>
    <w:p>
      <w:pPr>
        <w:pStyle w:val="Heading2"/>
        <w:spacing w:after="100" w:before="240"/>
      </w:pPr>
      <w:r>
        <w:rPr>
          <w:color w:val="1F4E79"/>
        </w:rPr>
        <w:t xml:space="preserve">Dos cosas que cambian todo</w:t>
      </w:r>
    </w:p>
    <w:p>
      <w:pPr>
        <w:pStyle w:val="ListParagraph"/>
        <w:numPr>
          <w:ilvl w:val="0"/>
          <w:numId w:val="1"/>
        </w:numPr>
        <w:spacing w:after="80"/>
      </w:pPr>
      <w:r>
        <w:t xml:space="preserve">EL 3.0 ES LA META, NO EL 4.0. El 4.0 no es “hacer más cosas” ni “entregar más páginas”: es aplicar lo aprendido a algo que no se enseñó. Un curso donde todos sacan 4.0 tiene el estándar mal puesto.</w:t>
      </w:r>
    </w:p>
    <w:p>
      <w:pPr>
        <w:pStyle w:val="ListParagraph"/>
        <w:numPr>
          <w:ilvl w:val="0"/>
          <w:numId w:val="1"/>
        </w:numPr>
        <w:spacing w:after="80"/>
      </w:pPr>
      <w:r>
        <w:t xml:space="preserve">LA ESCALA DESCRIBE LO QUE EL ESTUDIANTE HACE, no cuántos puntos perdió. Cada nivel se puede reconocer mirando el trabajo, sin cuentas.</w:t>
      </w:r>
    </w:p>
    <w:p>
      <w:pPr>
        <w:pStyle w:val="Heading2"/>
        <w:spacing w:after="100" w:before="240"/>
      </w:pPr>
      <w:r>
        <w:rPr>
          <w:color w:val="1F4E79"/>
        </w:rPr>
        <w:t xml:space="preserve">Cómo se cierra el curso sin promediar</w:t>
      </w:r>
    </w:p>
    <w:p>
      <w:pPr>
        <w:spacing w:after="120"/>
      </w:pPr>
      <w:r>
        <w:rPr>
          <w:b w:val="false"/>
          <w:bCs w:val="false"/>
          <w:i w:val="false"/>
          <w:iCs w:val="false"/>
        </w:rPr>
        <w:t xml:space="preserve">En vez de promediar, se lee la TENDENCIA: se le da más peso a las evidencias recientes, porque son las que muestran dónde está el estudiante ahora.</w:t>
      </w:r>
    </w:p>
    <w:p>
      <w:pPr>
        <w:spacing w:after="120"/>
      </w:pPr>
      <w:r>
        <w:rPr>
          <w:b w:val="false"/>
          <w:bCs w:val="false"/>
          <w:i w:val="false"/>
          <w:iCs w:val="false"/>
        </w:rPr>
        <w:t xml:space="preserve">Una estudiante con ocho entregas: 1.0 · 0.0 · 2.0 · 2.5 · 3.0 · 3.0 · 3.5 · 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CE6F1" w:val="clear"/>
            <w:tcMar>
              <w:top w:type="dxa" w:w="80"/>
              <w:left w:type="dxa" w:w="120"/>
              <w:bottom w:type="dxa" w:w="80"/>
              <w:right w:type="dxa" w:w="120"/>
            </w:tcMar>
          </w:tcPr>
          <w:p>
            <w:r>
              <w:rPr>
                <w:b/>
                <w:bCs/>
                <w:sz w:val="19"/>
                <w:szCs w:val="19"/>
              </w:rPr>
              <w:t xml:space="preserve">Cómo se lee</w:t>
            </w:r>
          </w:p>
        </w:tc>
        <w:tc>
          <w:tcPr>
            <w:tcW w:type="dxa" w:w="3200"/>
            <w:shd w:fill="DCE6F1" w:val="clear"/>
            <w:tcMar>
              <w:top w:type="dxa" w:w="80"/>
              <w:left w:type="dxa" w:w="120"/>
              <w:bottom w:type="dxa" w:w="80"/>
              <w:right w:type="dxa" w:w="120"/>
            </w:tcMar>
          </w:tcPr>
          <w:p>
            <w:r>
              <w:rPr>
                <w:b/>
                <w:bCs/>
                <w:sz w:val="19"/>
                <w:szCs w:val="19"/>
              </w:rPr>
              <w:t xml:space="preserve">Resultado</w:t>
            </w:r>
          </w:p>
        </w:tc>
        <w:tc>
          <w:tcPr>
            <w:tcW w:type="dxa" w:w="3400"/>
            <w:shd w:fill="DCE6F1" w:val="clear"/>
            <w:tcMar>
              <w:top w:type="dxa" w:w="80"/>
              <w:left w:type="dxa" w:w="120"/>
              <w:bottom w:type="dxa" w:w="80"/>
              <w:right w:type="dxa" w:w="120"/>
            </w:tcMar>
          </w:tcPr>
          <w:p>
            <w:r>
              <w:rPr>
                <w:b/>
                <w:bCs/>
                <w:sz w:val="19"/>
                <w:szCs w:val="19"/>
              </w:rPr>
              <w:t xml:space="preserve">Qué describe</w:t>
            </w:r>
          </w:p>
        </w:tc>
      </w:tr>
      <w:tr>
        <w:tc>
          <w:tcPr>
            <w:tcW w:type="dxa" w:w="2600"/>
            <w:tcMar>
              <w:top w:type="dxa" w:w="80"/>
              <w:left w:type="dxa" w:w="120"/>
              <w:bottom w:type="dxa" w:w="80"/>
              <w:right w:type="dxa" w:w="120"/>
            </w:tcMar>
          </w:tcPr>
          <w:p>
            <w:r>
              <w:rPr>
                <w:b w:val="false"/>
                <w:bCs w:val="false"/>
                <w:sz w:val="19"/>
                <w:szCs w:val="19"/>
              </w:rPr>
              <w:t xml:space="preserve">Promediando</w:t>
            </w:r>
          </w:p>
        </w:tc>
        <w:tc>
          <w:tcPr>
            <w:tcW w:type="dxa" w:w="3200"/>
            <w:tcMar>
              <w:top w:type="dxa" w:w="80"/>
              <w:left w:type="dxa" w:w="120"/>
              <w:bottom w:type="dxa" w:w="80"/>
              <w:right w:type="dxa" w:w="120"/>
            </w:tcMar>
          </w:tcPr>
          <w:p>
            <w:r>
              <w:rPr>
                <w:b w:val="false"/>
                <w:bCs w:val="false"/>
                <w:sz w:val="19"/>
                <w:szCs w:val="19"/>
              </w:rPr>
              <w:t xml:space="preserve">2.4 — un tres raspado</w:t>
            </w:r>
          </w:p>
        </w:tc>
        <w:tc>
          <w:tcPr>
            <w:tcW w:type="dxa" w:w="3400"/>
            <w:tcMar>
              <w:top w:type="dxa" w:w="80"/>
              <w:left w:type="dxa" w:w="120"/>
              <w:bottom w:type="dxa" w:w="80"/>
              <w:right w:type="dxa" w:w="120"/>
            </w:tcMar>
          </w:tcPr>
          <w:p>
            <w:r>
              <w:rPr>
                <w:b w:val="false"/>
                <w:bCs w:val="false"/>
                <w:sz w:val="19"/>
                <w:szCs w:val="19"/>
              </w:rPr>
              <w:t xml:space="preserve">Un promedio de personas que ya no existe</w:t>
            </w:r>
          </w:p>
        </w:tc>
      </w:tr>
      <w:tr>
        <w:tc>
          <w:tcPr>
            <w:tcW w:type="dxa" w:w="2600"/>
            <w:tcMar>
              <w:top w:type="dxa" w:w="80"/>
              <w:left w:type="dxa" w:w="120"/>
              <w:bottom w:type="dxa" w:w="80"/>
              <w:right w:type="dxa" w:w="120"/>
            </w:tcMar>
          </w:tcPr>
          <w:p>
            <w:r>
              <w:rPr>
                <w:b w:val="false"/>
                <w:bCs w:val="false"/>
                <w:sz w:val="19"/>
                <w:szCs w:val="19"/>
              </w:rPr>
              <w:t xml:space="preserve">Leyendo la tendencia</w:t>
            </w:r>
          </w:p>
        </w:tc>
        <w:tc>
          <w:tcPr>
            <w:tcW w:type="dxa" w:w="3200"/>
            <w:tcMar>
              <w:top w:type="dxa" w:w="80"/>
              <w:left w:type="dxa" w:w="120"/>
              <w:bottom w:type="dxa" w:w="80"/>
              <w:right w:type="dxa" w:w="120"/>
            </w:tcMar>
          </w:tcPr>
          <w:p>
            <w:r>
              <w:rPr>
                <w:b w:val="false"/>
                <w:bCs w:val="false"/>
                <w:sz w:val="19"/>
                <w:szCs w:val="19"/>
              </w:rPr>
              <w:t xml:space="preserve">3.5 — domina el estándar y a veces lo excede</w:t>
            </w:r>
          </w:p>
        </w:tc>
        <w:tc>
          <w:tcPr>
            <w:tcW w:type="dxa" w:w="3400"/>
            <w:tcMar>
              <w:top w:type="dxa" w:w="80"/>
              <w:left w:type="dxa" w:w="120"/>
              <w:bottom w:type="dxa" w:w="80"/>
              <w:right w:type="dxa" w:w="120"/>
            </w:tcMar>
          </w:tcPr>
          <w:p>
            <w:r>
              <w:rPr>
                <w:b w:val="false"/>
                <w:bCs w:val="false"/>
                <w:sz w:val="19"/>
                <w:szCs w:val="19"/>
              </w:rPr>
              <w:t xml:space="preserve">La estudiante que hoy está en su salón</w:t>
            </w:r>
          </w:p>
        </w:tc>
      </w:tr>
    </w:tbl>
    <w:p>
      <w:pPr>
        <w:spacing w:after="120"/>
      </w:pPr>
      <w:r>
        <w:rPr>
          <w:b w:val="false"/>
          <w:bCs w:val="false"/>
          <w:i w:val="false"/>
          <w:iCs w:val="false"/>
        </w:rPr>
        <w:t xml:space="preserve">Las dos cifras salen de los mismos datos.</w:t>
      </w:r>
    </w:p>
    <w:p>
      <w:pPr>
        <w:pStyle w:val="Heading2"/>
        <w:spacing w:after="100" w:before="240"/>
      </w:pPr>
      <w:r>
        <w:rPr>
          <w:color w:val="1F4E79"/>
        </w:rPr>
        <w:t xml:space="preserve">Tres reglas para redactar los descriptores</w:t>
      </w:r>
    </w:p>
    <w:p>
      <w:pPr>
        <w:spacing w:after="80"/>
        <w:ind w:left="360" w:hanging="260"/>
      </w:pPr>
      <w:r>
        <w:rPr>
          <w:b/>
          <w:bCs/>
        </w:rPr>
        <w:t xml:space="preserve">1. </w:t>
      </w:r>
      <w:r>
        <w:t xml:space="preserve">DESCRIBA LO QUE HACE, NO CUÁNTO ENTREGA. “Incluye al menos cinco fuentes” es cantidad; “contrasta fuentes que se contradicen y sostiene una posición” es calidad.</w:t>
      </w:r>
    </w:p>
    <w:p>
      <w:pPr>
        <w:spacing w:after="80"/>
        <w:ind w:left="360" w:hanging="260"/>
      </w:pPr>
      <w:r>
        <w:rPr>
          <w:b/>
          <w:bCs/>
        </w:rPr>
        <w:t xml:space="preserve">2. </w:t>
      </w:r>
      <w:r>
        <w:t xml:space="preserve">NADA DE “BIEN / REGULAR / MAL”. Eso no es una rúbrica: es una nota con más palabras. Cada nivel debe permitir ubicar un trabajo sin discusión.</w:t>
      </w:r>
    </w:p>
    <w:p>
      <w:pPr>
        <w:spacing w:after="80"/>
        <w:ind w:left="360" w:hanging="260"/>
      </w:pPr>
      <w:r>
        <w:rPr>
          <w:b/>
          <w:bCs/>
        </w:rPr>
        <w:t xml:space="preserve">3. </w:t>
      </w:r>
      <w:r>
        <w:t xml:space="preserve">EL 4.0 ES TRANSFERENCIA, NO CANTIDAD. Si su 4.0 dice “hace todo lo del 3.0 y además tres ejemplos más”, está midiendo volumen.</w:t>
      </w:r>
    </w:p>
    <w:p>
      <w:pPr>
        <w:pStyle w:val="Heading2"/>
        <w:spacing w:after="100" w:before="240"/>
      </w:pPr>
      <w:r>
        <w:rPr>
          <w:color w:val="1F4E79"/>
        </w:rPr>
        <w:t xml:space="preserve">Su rúbrica</w:t>
      </w:r>
    </w:p>
    <w:p>
      <w:pPr>
        <w:spacing w:after="120"/>
      </w:pPr>
      <w:r>
        <w:rPr>
          <w:b w:val="false"/>
          <w:bCs w:val="false"/>
          <w:i w:val="false"/>
          <w:iCs w:val="false"/>
        </w:rPr>
        <w:t xml:space="preserve">Plantilla en blanco para la evidencia principal de su unidad. De cuatro a seis criterios.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DCE6F1" w:val="clear"/>
            <w:tcMar>
              <w:top w:type="dxa" w:w="80"/>
              <w:left w:type="dxa" w:w="120"/>
              <w:bottom w:type="dxa" w:w="80"/>
              <w:right w:type="dxa" w:w="120"/>
            </w:tcMar>
          </w:tcPr>
          <w:p>
            <w:r>
              <w:rPr>
                <w:b/>
                <w:bCs/>
                <w:sz w:val="19"/>
                <w:szCs w:val="19"/>
              </w:rPr>
              <w:t xml:space="preserve">Criterio</w:t>
            </w:r>
          </w:p>
        </w:tc>
        <w:tc>
          <w:tcPr>
            <w:tcW w:type="dxa" w:w="1850"/>
            <w:shd w:fill="DCE6F1" w:val="clear"/>
            <w:tcMar>
              <w:top w:type="dxa" w:w="80"/>
              <w:left w:type="dxa" w:w="120"/>
              <w:bottom w:type="dxa" w:w="80"/>
              <w:right w:type="dxa" w:w="120"/>
            </w:tcMar>
          </w:tcPr>
          <w:p>
            <w:r>
              <w:rPr>
                <w:b/>
                <w:bCs/>
                <w:sz w:val="19"/>
                <w:szCs w:val="19"/>
              </w:rPr>
              <w:t xml:space="preserve">4.0</w:t>
            </w:r>
          </w:p>
        </w:tc>
        <w:tc>
          <w:tcPr>
            <w:tcW w:type="dxa" w:w="1850"/>
            <w:shd w:fill="DCE6F1" w:val="clear"/>
            <w:tcMar>
              <w:top w:type="dxa" w:w="80"/>
              <w:left w:type="dxa" w:w="120"/>
              <w:bottom w:type="dxa" w:w="80"/>
              <w:right w:type="dxa" w:w="120"/>
            </w:tcMar>
          </w:tcPr>
          <w:p>
            <w:r>
              <w:rPr>
                <w:b/>
                <w:bCs/>
                <w:sz w:val="19"/>
                <w:szCs w:val="19"/>
              </w:rPr>
              <w:t xml:space="preserve">3.0</w:t>
            </w:r>
          </w:p>
        </w:tc>
        <w:tc>
          <w:tcPr>
            <w:tcW w:type="dxa" w:w="1850"/>
            <w:shd w:fill="DCE6F1" w:val="clear"/>
            <w:tcMar>
              <w:top w:type="dxa" w:w="80"/>
              <w:left w:type="dxa" w:w="120"/>
              <w:bottom w:type="dxa" w:w="80"/>
              <w:right w:type="dxa" w:w="120"/>
            </w:tcMar>
          </w:tcPr>
          <w:p>
            <w:r>
              <w:rPr>
                <w:b/>
                <w:bCs/>
                <w:sz w:val="19"/>
                <w:szCs w:val="19"/>
              </w:rPr>
              <w:t xml:space="preserve">2.0</w:t>
            </w:r>
          </w:p>
        </w:tc>
        <w:tc>
          <w:tcPr>
            <w:tcW w:type="dxa" w:w="1850"/>
            <w:shd w:fill="DCE6F1" w:val="clear"/>
            <w:tcMar>
              <w:top w:type="dxa" w:w="80"/>
              <w:left w:type="dxa" w:w="120"/>
              <w:bottom w:type="dxa" w:w="80"/>
              <w:right w:type="dxa" w:w="120"/>
            </w:tcMar>
          </w:tcPr>
          <w:p>
            <w:r>
              <w:rPr>
                <w:b/>
                <w:bCs/>
                <w:sz w:val="19"/>
                <w:szCs w:val="19"/>
              </w:rPr>
              <w:t xml:space="preserve">1.0</w:t>
            </w:r>
          </w:p>
        </w:tc>
      </w:tr>
      <w:tr>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Bdr>
          <w:top w:val="single" w:color="BFBFBF" w:sz="6"/>
        </w:pBdr>
        <w:spacing w:before="320"/>
      </w:pPr>
      <w:r>
        <w:rPr>
          <w:i/>
          <w:iCs/>
          <w:color w:val="595959"/>
          <w:sz w:val="18"/>
          <w:szCs w:val="18"/>
        </w:rPr>
        <w:t xml:space="preserve">Material del curso “La Taxonomía de Marzano y Kendall: diseñar y evaluar por niveles de control consciente” · Módulo 6 · La escala 0–4 · Uso educativo.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2026-08-05T02:32:10.880Z</dcterms:created>
  <dcterms:modified xsi:type="dcterms:W3CDTF">2026-08-05T02:32:10.880Z</dcterms:modified>
</cp:coreProperties>
</file>

<file path=docProps/custom.xml><?xml version="1.0" encoding="utf-8"?>
<Properties xmlns="http://schemas.openxmlformats.org/officeDocument/2006/custom-properties" xmlns:vt="http://schemas.openxmlformats.org/officeDocument/2006/docPropsVTypes"/>
</file>