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Los cuatro marcos</w:t>
      </w:r>
    </w:p>
    <w:p>
      <w:pPr>
        <w:spacing w:after="240"/>
      </w:pPr>
      <w:r>
        <w:rPr>
          <w:b/>
          <w:bCs/>
          <w:sz w:val="26"/>
          <w:szCs w:val="26"/>
        </w:rPr>
        <w:t xml:space="preserve">Unidad 6.4 · Cuándo Marzano y cuándo no</w:t>
      </w:r>
    </w:p>
    <w:p>
      <w:pPr>
        <w:pStyle w:val="Heading2"/>
        <w:spacing w:after="100" w:before="240"/>
      </w:pPr>
      <w:r>
        <w:rPr>
          <w:color w:val="1F4E79"/>
        </w:rPr>
        <w:t xml:space="preserve">La comparación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DCE6F1" w:val="clear"/>
            <w:tcMar>
              <w:top w:type="dxa" w:w="80"/>
              <w:left w:type="dxa" w:w="120"/>
              <w:bottom w:type="dxa" w:w="80"/>
              <w:right w:type="dxa" w:w="120"/>
            </w:tcMar>
          </w:tcPr>
          <w:p>
            <w:r>
              <w:rPr>
                <w:b/>
                <w:bCs/>
                <w:sz w:val="19"/>
                <w:szCs w:val="19"/>
              </w:rPr>
              <w:t xml:space="preserve">Eje</w:t>
            </w:r>
          </w:p>
        </w:tc>
        <w:tc>
          <w:tcPr>
            <w:tcW w:type="dxa" w:w="2100"/>
            <w:shd w:fill="DCE6F1" w:val="clear"/>
            <w:tcMar>
              <w:top w:type="dxa" w:w="80"/>
              <w:left w:type="dxa" w:w="120"/>
              <w:bottom w:type="dxa" w:w="80"/>
              <w:right w:type="dxa" w:w="120"/>
            </w:tcMar>
          </w:tcPr>
          <w:p>
            <w:r>
              <w:rPr>
                <w:b/>
                <w:bCs/>
                <w:sz w:val="19"/>
                <w:szCs w:val="19"/>
              </w:rPr>
              <w:t xml:space="preserve">Marzano y Kendall (2007)</w:t>
            </w:r>
          </w:p>
        </w:tc>
        <w:tc>
          <w:tcPr>
            <w:tcW w:type="dxa" w:w="1900"/>
            <w:shd w:fill="DCE6F1" w:val="clear"/>
            <w:tcMar>
              <w:top w:type="dxa" w:w="80"/>
              <w:left w:type="dxa" w:w="120"/>
              <w:bottom w:type="dxa" w:w="80"/>
              <w:right w:type="dxa" w:w="120"/>
            </w:tcMar>
          </w:tcPr>
          <w:p>
            <w:r>
              <w:rPr>
                <w:b/>
                <w:bCs/>
                <w:sz w:val="19"/>
                <w:szCs w:val="19"/>
              </w:rPr>
              <w:t xml:space="preserve">Bloom revisada (2001)</w:t>
            </w:r>
          </w:p>
        </w:tc>
        <w:tc>
          <w:tcPr>
            <w:tcW w:type="dxa" w:w="1900"/>
            <w:shd w:fill="DCE6F1" w:val="clear"/>
            <w:tcMar>
              <w:top w:type="dxa" w:w="80"/>
              <w:left w:type="dxa" w:w="120"/>
              <w:bottom w:type="dxa" w:w="80"/>
              <w:right w:type="dxa" w:w="120"/>
            </w:tcMar>
          </w:tcPr>
          <w:p>
            <w:r>
              <w:rPr>
                <w:b/>
                <w:bCs/>
                <w:sz w:val="19"/>
                <w:szCs w:val="19"/>
              </w:rPr>
              <w:t xml:space="preserve">SOLO (1982)</w:t>
            </w:r>
          </w:p>
        </w:tc>
        <w:tc>
          <w:tcPr>
            <w:tcW w:type="dxa" w:w="1800"/>
            <w:shd w:fill="DCE6F1" w:val="clear"/>
            <w:tcMar>
              <w:top w:type="dxa" w:w="80"/>
              <w:left w:type="dxa" w:w="120"/>
              <w:bottom w:type="dxa" w:w="80"/>
              <w:right w:type="dxa" w:w="120"/>
            </w:tcMar>
          </w:tcPr>
          <w:p>
            <w:r>
              <w:rPr>
                <w:b/>
                <w:bCs/>
                <w:sz w:val="19"/>
                <w:szCs w:val="19"/>
              </w:rPr>
              <w:t xml:space="preserve">Fink (2003)</w:t>
            </w:r>
          </w:p>
        </w:tc>
      </w:tr>
      <w:tr>
        <w:tc>
          <w:tcPr>
            <w:tcW w:type="dxa" w:w="1500"/>
            <w:tcMar>
              <w:top w:type="dxa" w:w="80"/>
              <w:left w:type="dxa" w:w="120"/>
              <w:bottom w:type="dxa" w:w="80"/>
              <w:right w:type="dxa" w:w="120"/>
            </w:tcMar>
          </w:tcPr>
          <w:p>
            <w:r>
              <w:rPr>
                <w:b w:val="false"/>
                <w:bCs w:val="false"/>
                <w:sz w:val="19"/>
                <w:szCs w:val="19"/>
              </w:rPr>
              <w:t xml:space="preserve">Cómo ordena</w:t>
            </w:r>
          </w:p>
        </w:tc>
        <w:tc>
          <w:tcPr>
            <w:tcW w:type="dxa" w:w="2100"/>
            <w:tcMar>
              <w:top w:type="dxa" w:w="80"/>
              <w:left w:type="dxa" w:w="120"/>
              <w:bottom w:type="dxa" w:w="80"/>
              <w:right w:type="dxa" w:w="120"/>
            </w:tcMar>
          </w:tcPr>
          <w:p>
            <w:r>
              <w:rPr>
                <w:b w:val="false"/>
                <w:bCs w:val="false"/>
                <w:sz w:val="19"/>
                <w:szCs w:val="19"/>
              </w:rPr>
              <w:t xml:space="preserve">Por control consciente. Flujo de tres sistemas</w:t>
            </w:r>
          </w:p>
        </w:tc>
        <w:tc>
          <w:tcPr>
            <w:tcW w:type="dxa" w:w="1900"/>
            <w:tcMar>
              <w:top w:type="dxa" w:w="80"/>
              <w:left w:type="dxa" w:w="120"/>
              <w:bottom w:type="dxa" w:w="80"/>
              <w:right w:type="dxa" w:w="120"/>
            </w:tcMar>
          </w:tcPr>
          <w:p>
            <w:r>
              <w:rPr>
                <w:b w:val="false"/>
                <w:bCs w:val="false"/>
                <w:sz w:val="19"/>
                <w:szCs w:val="19"/>
              </w:rPr>
              <w:t xml:space="preserve">Jerarquía lineal por complejidad</w:t>
            </w:r>
          </w:p>
        </w:tc>
        <w:tc>
          <w:tcPr>
            <w:tcW w:type="dxa" w:w="1900"/>
            <w:tcMar>
              <w:top w:type="dxa" w:w="80"/>
              <w:left w:type="dxa" w:w="120"/>
              <w:bottom w:type="dxa" w:w="80"/>
              <w:right w:type="dxa" w:w="120"/>
            </w:tcMar>
          </w:tcPr>
          <w:p>
            <w:r>
              <w:rPr>
                <w:b w:val="false"/>
                <w:bCs w:val="false"/>
                <w:sz w:val="19"/>
                <w:szCs w:val="19"/>
              </w:rPr>
              <w:t xml:space="preserve">Por la calidad estructural de la respuesta observada</w:t>
            </w:r>
          </w:p>
        </w:tc>
        <w:tc>
          <w:tcPr>
            <w:tcW w:type="dxa" w:w="1800"/>
            <w:tcMar>
              <w:top w:type="dxa" w:w="80"/>
              <w:left w:type="dxa" w:w="120"/>
              <w:bottom w:type="dxa" w:w="80"/>
              <w:right w:type="dxa" w:w="120"/>
            </w:tcMar>
          </w:tcPr>
          <w:p>
            <w:r>
              <w:rPr>
                <w:b w:val="false"/>
                <w:bCs w:val="false"/>
                <w:sz w:val="19"/>
                <w:szCs w:val="19"/>
              </w:rPr>
              <w:t xml:space="preserve">Categorías que se potencian, sin jerarquía</w:t>
            </w:r>
          </w:p>
        </w:tc>
      </w:tr>
      <w:tr>
        <w:tc>
          <w:tcPr>
            <w:tcW w:type="dxa" w:w="1500"/>
            <w:tcMar>
              <w:top w:type="dxa" w:w="80"/>
              <w:left w:type="dxa" w:w="120"/>
              <w:bottom w:type="dxa" w:w="80"/>
              <w:right w:type="dxa" w:w="120"/>
            </w:tcMar>
          </w:tcPr>
          <w:p>
            <w:r>
              <w:rPr>
                <w:b w:val="false"/>
                <w:bCs w:val="false"/>
                <w:sz w:val="19"/>
                <w:szCs w:val="19"/>
              </w:rPr>
              <w:t xml:space="preserve">Lo afectivo</w:t>
            </w:r>
          </w:p>
        </w:tc>
        <w:tc>
          <w:tcPr>
            <w:tcW w:type="dxa" w:w="2100"/>
            <w:tcMar>
              <w:top w:type="dxa" w:w="80"/>
              <w:left w:type="dxa" w:w="120"/>
              <w:bottom w:type="dxa" w:w="80"/>
              <w:right w:type="dxa" w:w="120"/>
            </w:tcMar>
          </w:tcPr>
          <w:p>
            <w:r>
              <w:rPr>
                <w:b w:val="false"/>
                <w:bCs w:val="false"/>
                <w:sz w:val="19"/>
                <w:szCs w:val="19"/>
              </w:rPr>
              <w:t xml:space="preserve">Central: es la primera compuerta</w:t>
            </w:r>
          </w:p>
        </w:tc>
        <w:tc>
          <w:tcPr>
            <w:tcW w:type="dxa" w:w="1900"/>
            <w:tcMar>
              <w:top w:type="dxa" w:w="80"/>
              <w:left w:type="dxa" w:w="120"/>
              <w:bottom w:type="dxa" w:w="80"/>
              <w:right w:type="dxa" w:w="120"/>
            </w:tcMar>
          </w:tcPr>
          <w:p>
            <w:r>
              <w:rPr>
                <w:b w:val="false"/>
                <w:bCs w:val="false"/>
                <w:sz w:val="19"/>
                <w:szCs w:val="19"/>
              </w:rPr>
              <w:t xml:space="preserve">Fuera del modelo cognitivo</w:t>
            </w:r>
          </w:p>
        </w:tc>
        <w:tc>
          <w:tcPr>
            <w:tcW w:type="dxa" w:w="1900"/>
            <w:tcMar>
              <w:top w:type="dxa" w:w="80"/>
              <w:left w:type="dxa" w:w="120"/>
              <w:bottom w:type="dxa" w:w="80"/>
              <w:right w:type="dxa" w:w="120"/>
            </w:tcMar>
          </w:tcPr>
          <w:p>
            <w:r>
              <w:rPr>
                <w:b w:val="false"/>
                <w:bCs w:val="false"/>
                <w:sz w:val="19"/>
                <w:szCs w:val="19"/>
              </w:rPr>
              <w:t xml:space="preserve">Ausente</w:t>
            </w:r>
          </w:p>
        </w:tc>
        <w:tc>
          <w:tcPr>
            <w:tcW w:type="dxa" w:w="1800"/>
            <w:tcMar>
              <w:top w:type="dxa" w:w="80"/>
              <w:left w:type="dxa" w:w="120"/>
              <w:bottom w:type="dxa" w:w="80"/>
              <w:right w:type="dxa" w:w="120"/>
            </w:tcMar>
          </w:tcPr>
          <w:p>
            <w:r>
              <w:rPr>
                <w:b w:val="false"/>
                <w:bCs w:val="false"/>
                <w:sz w:val="19"/>
                <w:szCs w:val="19"/>
              </w:rPr>
              <w:t xml:space="preserve">Eje fundamental, incluye el cuidado ético</w:t>
            </w:r>
          </w:p>
        </w:tc>
      </w:tr>
      <w:tr>
        <w:tc>
          <w:tcPr>
            <w:tcW w:type="dxa" w:w="1500"/>
            <w:tcMar>
              <w:top w:type="dxa" w:w="80"/>
              <w:left w:type="dxa" w:w="120"/>
              <w:bottom w:type="dxa" w:w="80"/>
              <w:right w:type="dxa" w:w="120"/>
            </w:tcMar>
          </w:tcPr>
          <w:p>
            <w:r>
              <w:rPr>
                <w:b w:val="false"/>
                <w:bCs w:val="false"/>
                <w:sz w:val="19"/>
                <w:szCs w:val="19"/>
              </w:rPr>
              <w:t xml:space="preserve">La metacognición</w:t>
            </w:r>
          </w:p>
        </w:tc>
        <w:tc>
          <w:tcPr>
            <w:tcW w:type="dxa" w:w="2100"/>
            <w:tcMar>
              <w:top w:type="dxa" w:w="80"/>
              <w:left w:type="dxa" w:w="120"/>
              <w:bottom w:type="dxa" w:w="80"/>
              <w:right w:type="dxa" w:w="120"/>
            </w:tcMar>
          </w:tcPr>
          <w:p>
            <w:r>
              <w:rPr>
                <w:b w:val="false"/>
                <w:bCs w:val="false"/>
                <w:sz w:val="19"/>
                <w:szCs w:val="19"/>
              </w:rPr>
              <w:t xml:space="preserve">Un sistema activo que vigila en tiempo real</w:t>
            </w:r>
          </w:p>
        </w:tc>
        <w:tc>
          <w:tcPr>
            <w:tcW w:type="dxa" w:w="1900"/>
            <w:tcMar>
              <w:top w:type="dxa" w:w="80"/>
              <w:left w:type="dxa" w:w="120"/>
              <w:bottom w:type="dxa" w:w="80"/>
              <w:right w:type="dxa" w:w="120"/>
            </w:tcMar>
          </w:tcPr>
          <w:p>
            <w:r>
              <w:rPr>
                <w:b w:val="false"/>
                <w:bCs w:val="false"/>
                <w:sz w:val="19"/>
                <w:szCs w:val="19"/>
              </w:rPr>
              <w:t xml:space="preserve">Un tipo de conocimiento, estático</w:t>
            </w:r>
          </w:p>
        </w:tc>
        <w:tc>
          <w:tcPr>
            <w:tcW w:type="dxa" w:w="1900"/>
            <w:tcMar>
              <w:top w:type="dxa" w:w="80"/>
              <w:left w:type="dxa" w:w="120"/>
              <w:bottom w:type="dxa" w:w="80"/>
              <w:right w:type="dxa" w:w="120"/>
            </w:tcMar>
          </w:tcPr>
          <w:p>
            <w:r>
              <w:rPr>
                <w:b w:val="false"/>
                <w:bCs w:val="false"/>
                <w:sz w:val="19"/>
                <w:szCs w:val="19"/>
              </w:rPr>
              <w:t xml:space="preserve">Ausente</w:t>
            </w:r>
          </w:p>
        </w:tc>
        <w:tc>
          <w:tcPr>
            <w:tcW w:type="dxa" w:w="1800"/>
            <w:tcMar>
              <w:top w:type="dxa" w:w="80"/>
              <w:left w:type="dxa" w:w="120"/>
              <w:bottom w:type="dxa" w:w="80"/>
              <w:right w:type="dxa" w:w="120"/>
            </w:tcMar>
          </w:tcPr>
          <w:p>
            <w:r>
              <w:rPr>
                <w:b w:val="false"/>
                <w:bCs w:val="false"/>
                <w:sz w:val="19"/>
                <w:szCs w:val="19"/>
              </w:rPr>
              <w:t xml:space="preserve">Dentro de “aprender a aprender”</w:t>
            </w:r>
          </w:p>
        </w:tc>
      </w:tr>
      <w:tr>
        <w:tc>
          <w:tcPr>
            <w:tcW w:type="dxa" w:w="1500"/>
            <w:tcMar>
              <w:top w:type="dxa" w:w="80"/>
              <w:left w:type="dxa" w:w="120"/>
              <w:bottom w:type="dxa" w:w="80"/>
              <w:right w:type="dxa" w:w="120"/>
            </w:tcMar>
          </w:tcPr>
          <w:p>
            <w:r>
              <w:rPr>
                <w:b w:val="false"/>
                <w:bCs w:val="false"/>
                <w:sz w:val="19"/>
                <w:szCs w:val="19"/>
              </w:rPr>
              <w:t xml:space="preserve">Dónde rinde más</w:t>
            </w:r>
          </w:p>
        </w:tc>
        <w:tc>
          <w:tcPr>
            <w:tcW w:type="dxa" w:w="2100"/>
            <w:tcMar>
              <w:top w:type="dxa" w:w="80"/>
              <w:left w:type="dxa" w:w="120"/>
              <w:bottom w:type="dxa" w:w="80"/>
              <w:right w:type="dxa" w:w="120"/>
            </w:tcMar>
          </w:tcPr>
          <w:p>
            <w:r>
              <w:rPr>
                <w:b w:val="false"/>
                <w:bCs w:val="false"/>
                <w:sz w:val="19"/>
                <w:szCs w:val="19"/>
              </w:rPr>
              <w:t xml:space="preserve">Competencias, proyectos, investigación escolar</w:t>
            </w:r>
          </w:p>
        </w:tc>
        <w:tc>
          <w:tcPr>
            <w:tcW w:type="dxa" w:w="1900"/>
            <w:tcMar>
              <w:top w:type="dxa" w:w="80"/>
              <w:left w:type="dxa" w:w="120"/>
              <w:bottom w:type="dxa" w:w="80"/>
              <w:right w:type="dxa" w:w="120"/>
            </w:tcMar>
          </w:tcPr>
          <w:p>
            <w:r>
              <w:rPr>
                <w:b w:val="false"/>
                <w:bCs w:val="false"/>
                <w:sz w:val="19"/>
                <w:szCs w:val="19"/>
              </w:rPr>
              <w:t xml:space="preserve">Diseñar exámenes y secuencias directas</w:t>
            </w:r>
          </w:p>
        </w:tc>
        <w:tc>
          <w:tcPr>
            <w:tcW w:type="dxa" w:w="1900"/>
            <w:tcMar>
              <w:top w:type="dxa" w:w="80"/>
              <w:left w:type="dxa" w:w="120"/>
              <w:bottom w:type="dxa" w:w="80"/>
              <w:right w:type="dxa" w:w="120"/>
            </w:tcMar>
          </w:tcPr>
          <w:p>
            <w:r>
              <w:rPr>
                <w:b w:val="false"/>
                <w:bCs w:val="false"/>
                <w:sz w:val="19"/>
                <w:szCs w:val="19"/>
              </w:rPr>
              <w:t xml:space="preserve">Valorar ensayos, respuestas abiertas y portafolios</w:t>
            </w:r>
          </w:p>
        </w:tc>
        <w:tc>
          <w:tcPr>
            <w:tcW w:type="dxa" w:w="1800"/>
            <w:tcMar>
              <w:top w:type="dxa" w:w="80"/>
              <w:left w:type="dxa" w:w="120"/>
              <w:bottom w:type="dxa" w:w="80"/>
              <w:right w:type="dxa" w:w="120"/>
            </w:tcMar>
          </w:tcPr>
          <w:p>
            <w:r>
              <w:rPr>
                <w:b w:val="false"/>
                <w:bCs w:val="false"/>
                <w:sz w:val="19"/>
                <w:szCs w:val="19"/>
              </w:rPr>
              <w:t xml:space="preserve">Rediseñar asignaturas con impacto ético y personal</w:t>
            </w:r>
          </w:p>
        </w:tc>
      </w:tr>
      <w:tr>
        <w:tc>
          <w:tcPr>
            <w:tcW w:type="dxa" w:w="1500"/>
            <w:tcMar>
              <w:top w:type="dxa" w:w="80"/>
              <w:left w:type="dxa" w:w="120"/>
              <w:bottom w:type="dxa" w:w="80"/>
              <w:right w:type="dxa" w:w="120"/>
            </w:tcMar>
          </w:tcPr>
          <w:p>
            <w:r>
              <w:rPr>
                <w:b w:val="false"/>
                <w:bCs w:val="false"/>
                <w:sz w:val="19"/>
                <w:szCs w:val="19"/>
              </w:rPr>
              <w:t xml:space="preserve">Qué deja fuera</w:t>
            </w:r>
          </w:p>
        </w:tc>
        <w:tc>
          <w:tcPr>
            <w:tcW w:type="dxa" w:w="2100"/>
            <w:tcMar>
              <w:top w:type="dxa" w:w="80"/>
              <w:left w:type="dxa" w:w="120"/>
              <w:bottom w:type="dxa" w:w="80"/>
              <w:right w:type="dxa" w:w="120"/>
            </w:tcMar>
          </w:tcPr>
          <w:p>
            <w:r>
              <w:rPr>
                <w:b w:val="false"/>
                <w:bCs w:val="false"/>
                <w:sz w:val="19"/>
                <w:szCs w:val="19"/>
              </w:rPr>
              <w:t xml:space="preserve">La simplicidad: es el más difícil de adoptar</w:t>
            </w:r>
          </w:p>
        </w:tc>
        <w:tc>
          <w:tcPr>
            <w:tcW w:type="dxa" w:w="1900"/>
            <w:tcMar>
              <w:top w:type="dxa" w:w="80"/>
              <w:left w:type="dxa" w:w="120"/>
              <w:bottom w:type="dxa" w:w="80"/>
              <w:right w:type="dxa" w:w="120"/>
            </w:tcMar>
          </w:tcPr>
          <w:p>
            <w:r>
              <w:rPr>
                <w:b w:val="false"/>
                <w:bCs w:val="false"/>
                <w:sz w:val="19"/>
                <w:szCs w:val="19"/>
              </w:rPr>
              <w:t xml:space="preserve">Lo afectivo y la metacognición activa</w:t>
            </w:r>
          </w:p>
        </w:tc>
        <w:tc>
          <w:tcPr>
            <w:tcW w:type="dxa" w:w="1900"/>
            <w:tcMar>
              <w:top w:type="dxa" w:w="80"/>
              <w:left w:type="dxa" w:w="120"/>
              <w:bottom w:type="dxa" w:w="80"/>
              <w:right w:type="dxa" w:w="120"/>
            </w:tcMar>
          </w:tcPr>
          <w:p>
            <w:r>
              <w:rPr>
                <w:b w:val="false"/>
                <w:bCs w:val="false"/>
                <w:sz w:val="19"/>
                <w:szCs w:val="19"/>
              </w:rPr>
              <w:t xml:space="preserve">Lo afectivo y la metacognición</w:t>
            </w:r>
          </w:p>
        </w:tc>
        <w:tc>
          <w:tcPr>
            <w:tcW w:type="dxa" w:w="1800"/>
            <w:tcMar>
              <w:top w:type="dxa" w:w="80"/>
              <w:left w:type="dxa" w:w="120"/>
              <w:bottom w:type="dxa" w:w="80"/>
              <w:right w:type="dxa" w:w="120"/>
            </w:tcMar>
          </w:tcPr>
          <w:p>
            <w:r>
              <w:rPr>
                <w:b w:val="false"/>
                <w:bCs w:val="false"/>
                <w:sz w:val="19"/>
                <w:szCs w:val="19"/>
              </w:rPr>
              <w:t xml:space="preserve">La precisión para escribir objetivos</w:t>
            </w:r>
          </w:p>
        </w:tc>
      </w:tr>
    </w:tbl>
    <w:p>
      <w:pPr>
        <w:pStyle w:val="Heading2"/>
        <w:spacing w:after="100" w:before="240"/>
      </w:pPr>
      <w:r>
        <w:rPr>
          <w:color w:val="1F4E79"/>
        </w:rPr>
        <w:t xml:space="preserve">Cuál usar, según el caso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shd w:fill="DCE6F1" w:val="clear"/>
            <w:tcMar>
              <w:top w:type="dxa" w:w="80"/>
              <w:left w:type="dxa" w:w="120"/>
              <w:bottom w:type="dxa" w:w="80"/>
              <w:right w:type="dxa" w:w="120"/>
            </w:tcMar>
          </w:tcPr>
          <w:p>
            <w:r>
              <w:rPr>
                <w:b/>
                <w:bCs/>
                <w:sz w:val="19"/>
                <w:szCs w:val="19"/>
              </w:rPr>
              <w:t xml:space="preserve">Si el problema es…</w:t>
            </w:r>
          </w:p>
        </w:tc>
        <w:tc>
          <w:tcPr>
            <w:tcW w:type="dxa" w:w="3800"/>
            <w:shd w:fill="DCE6F1" w:val="clear"/>
            <w:tcMar>
              <w:top w:type="dxa" w:w="80"/>
              <w:left w:type="dxa" w:w="120"/>
              <w:bottom w:type="dxa" w:w="80"/>
              <w:right w:type="dxa" w:w="120"/>
            </w:tcMar>
          </w:tcPr>
          <w:p>
            <w:r>
              <w:rPr>
                <w:b/>
                <w:bCs/>
                <w:sz w:val="19"/>
                <w:szCs w:val="19"/>
              </w:rPr>
              <w:t xml:space="preserve">Use</w:t>
            </w:r>
          </w:p>
        </w:tc>
      </w:tr>
      <w:tr>
        <w:tc>
          <w:tcPr>
            <w:tcW w:type="dxa" w:w="5400"/>
            <w:tcMar>
              <w:top w:type="dxa" w:w="80"/>
              <w:left w:type="dxa" w:w="120"/>
              <w:bottom w:type="dxa" w:w="80"/>
              <w:right w:type="dxa" w:w="120"/>
            </w:tcMar>
          </w:tcPr>
          <w:p>
            <w:r>
              <w:rPr>
                <w:b w:val="false"/>
                <w:bCs w:val="false"/>
                <w:sz w:val="19"/>
                <w:szCs w:val="19"/>
              </w:rPr>
              <w:t xml:space="preserve">Decidir qué operación quiere provocar, sobre qué conocimiento, con qué evidencia — y que el estudiante quiera entrar y sepa vigilarse</w:t>
            </w:r>
          </w:p>
        </w:tc>
        <w:tc>
          <w:tcPr>
            <w:tcW w:type="dxa" w:w="3800"/>
            <w:tcMar>
              <w:top w:type="dxa" w:w="80"/>
              <w:left w:type="dxa" w:w="120"/>
              <w:bottom w:type="dxa" w:w="80"/>
              <w:right w:type="dxa" w:w="120"/>
            </w:tcMar>
          </w:tcPr>
          <w:p>
            <w:r>
              <w:rPr>
                <w:b w:val="false"/>
                <w:bCs w:val="false"/>
                <w:sz w:val="19"/>
                <w:szCs w:val="19"/>
              </w:rPr>
              <w:t xml:space="preserve">Marzano y Kendall</w:t>
            </w:r>
          </w:p>
        </w:tc>
      </w:tr>
      <w:tr>
        <w:tc>
          <w:tcPr>
            <w:tcW w:type="dxa" w:w="5400"/>
            <w:tcMar>
              <w:top w:type="dxa" w:w="80"/>
              <w:left w:type="dxa" w:w="120"/>
              <w:bottom w:type="dxa" w:w="80"/>
              <w:right w:type="dxa" w:w="120"/>
            </w:tcMar>
          </w:tcPr>
          <w:p>
            <w:r>
              <w:rPr>
                <w:b w:val="false"/>
                <w:bCs w:val="false"/>
                <w:sz w:val="19"/>
                <w:szCs w:val="19"/>
              </w:rPr>
              <w:t xml:space="preserve">Su institución la exige y no está a discusión, o necesita algo rápido y compartido que todo el mundo entienda</w:t>
            </w:r>
          </w:p>
        </w:tc>
        <w:tc>
          <w:tcPr>
            <w:tcW w:type="dxa" w:w="3800"/>
            <w:tcMar>
              <w:top w:type="dxa" w:w="80"/>
              <w:left w:type="dxa" w:w="120"/>
              <w:bottom w:type="dxa" w:w="80"/>
              <w:right w:type="dxa" w:w="120"/>
            </w:tcMar>
          </w:tcPr>
          <w:p>
            <w:r>
              <w:rPr>
                <w:b w:val="false"/>
                <w:bCs w:val="false"/>
                <w:sz w:val="19"/>
                <w:szCs w:val="19"/>
              </w:rPr>
              <w:t xml:space="preserve">Bloom revisada. Sigue siendo la lengua franca: no la desprecie por saber sus límites</w:t>
            </w:r>
          </w:p>
        </w:tc>
      </w:tr>
      <w:tr>
        <w:tc>
          <w:tcPr>
            <w:tcW w:type="dxa" w:w="5400"/>
            <w:tcMar>
              <w:top w:type="dxa" w:w="80"/>
              <w:left w:type="dxa" w:w="120"/>
              <w:bottom w:type="dxa" w:w="80"/>
              <w:right w:type="dxa" w:w="120"/>
            </w:tcMar>
          </w:tcPr>
          <w:p>
            <w:r>
              <w:rPr>
                <w:b w:val="false"/>
                <w:bCs w:val="false"/>
                <w:sz w:val="19"/>
                <w:szCs w:val="19"/>
              </w:rPr>
              <w:t xml:space="preserve">Lo que tiene delante ya está escrito y hay que valorarlo: un ensayo, una respuesta abierta</w:t>
            </w:r>
          </w:p>
        </w:tc>
        <w:tc>
          <w:tcPr>
            <w:tcW w:type="dxa" w:w="3800"/>
            <w:tcMar>
              <w:top w:type="dxa" w:w="80"/>
              <w:left w:type="dxa" w:w="120"/>
              <w:bottom w:type="dxa" w:w="80"/>
              <w:right w:type="dxa" w:w="120"/>
            </w:tcMar>
          </w:tcPr>
          <w:p>
            <w:r>
              <w:rPr>
                <w:b w:val="false"/>
                <w:bCs w:val="false"/>
                <w:sz w:val="19"/>
                <w:szCs w:val="19"/>
              </w:rPr>
              <w:t xml:space="preserve">SOLO. Es la mejor de las cuatro para decidir qué tan articulada está una respuesta</w:t>
            </w:r>
          </w:p>
        </w:tc>
      </w:tr>
      <w:tr>
        <w:tc>
          <w:tcPr>
            <w:tcW w:type="dxa" w:w="5400"/>
            <w:tcMar>
              <w:top w:type="dxa" w:w="80"/>
              <w:left w:type="dxa" w:w="120"/>
              <w:bottom w:type="dxa" w:w="80"/>
              <w:right w:type="dxa" w:w="120"/>
            </w:tcMar>
          </w:tcPr>
          <w:p>
            <w:r>
              <w:rPr>
                <w:b w:val="false"/>
                <w:bCs w:val="false"/>
                <w:sz w:val="19"/>
                <w:szCs w:val="19"/>
              </w:rPr>
              <w:t xml:space="preserve">Está rediseñando una asignatura completa y le importa lo que le pasa a la persona</w:t>
            </w:r>
          </w:p>
        </w:tc>
        <w:tc>
          <w:tcPr>
            <w:tcW w:type="dxa" w:w="3800"/>
            <w:tcMar>
              <w:top w:type="dxa" w:w="80"/>
              <w:left w:type="dxa" w:w="120"/>
              <w:bottom w:type="dxa" w:w="80"/>
              <w:right w:type="dxa" w:w="120"/>
            </w:tcMar>
          </w:tcPr>
          <w:p>
            <w:r>
              <w:rPr>
                <w:b w:val="false"/>
                <w:bCs w:val="false"/>
                <w:sz w:val="19"/>
                <w:szCs w:val="19"/>
              </w:rPr>
              <w:t xml:space="preserve">Fink</w:t>
            </w:r>
          </w:p>
        </w:tc>
      </w:tr>
    </w:tbl>
    <w:p>
      <w:pPr>
        <w:pStyle w:val="Heading2"/>
        <w:spacing w:after="100" w:before="240"/>
      </w:pPr>
      <w:r>
        <w:rPr>
          <w:color w:val="1F4E79"/>
        </w:rPr>
        <w:t xml:space="preserve">La ruta electiva</w:t>
      </w:r>
    </w:p>
    <w:p>
      <w:pPr>
        <w:spacing w:after="120"/>
      </w:pPr>
      <w:r>
        <w:rPr>
          <w:b w:val="false"/>
          <w:bCs w:val="false"/>
          <w:i w:val="false"/>
          <w:iCs w:val="false"/>
        </w:rPr>
        <w:t xml:space="preserve">Si su institución trabaja con otro marco y no puede cambiarlo, no lo abandone. TRADUZCA: escriba sus objetivos en el marco que le exigen y use la matriz de Marzano por dentro para revisar que no se le quede todo en los niveles bajos. Las dos cosas conviven sin problema.</w:t>
      </w:r>
    </w:p>
    <w:p>
      <w:pPr>
        <w:pStyle w:val="Heading2"/>
        <w:spacing w:after="100" w:before="240"/>
      </w:pPr>
      <w:r>
        <w:rPr>
          <w:color w:val="1F4E79"/>
        </w:rPr>
        <w:t xml:space="preserve">Lo que este modelo no resuelve</w:t>
      </w:r>
    </w:p>
    <w:p>
      <w:pPr>
        <w:spacing w:after="120"/>
      </w:pPr>
      <w:r>
        <w:rPr>
          <w:b w:val="false"/>
          <w:bCs w:val="false"/>
          <w:i w:val="false"/>
          <w:iCs w:val="false"/>
        </w:rPr>
        <w:t xml:space="preserve">Un curso que le enseña a examinar la importancia de lo que aprende no puede esconderle los límites de lo que le está enseñando. Tres, con nombre:</w:t>
      </w:r>
    </w:p>
    <w:p>
      <w:pPr>
        <w:pStyle w:val="Heading3"/>
        <w:spacing w:after="80" w:before="180"/>
      </w:pPr>
      <w:r>
        <w:rPr>
          <w:b/>
          <w:bCs/>
          <w:color w:val="595959"/>
        </w:rPr>
        <w:t xml:space="preserve">1 · La contradicción de la dirección</w:t>
      </w:r>
    </w:p>
    <w:p>
      <w:pPr>
        <w:spacing w:after="120"/>
      </w:pPr>
      <w:r>
        <w:rPr>
          <w:b w:val="false"/>
          <w:bCs w:val="false"/>
          <w:i w:val="false"/>
          <w:iCs w:val="false"/>
        </w:rPr>
        <w:t xml:space="preserve">Los niveles 5 y 6 están en la cúspide de la jerarquía, pero son los PRIMEROS que se activan en el flujo real. La jerarquía sube y el proceso baja. Marzano lo explica —lo que está arriba es el control de la conciencia, no el orden temporal—, pero la figura confunde, y confunde sobre todo a quien diseña secuencias lineales creyendo que hay que “llegar” al nivel 6 al final.</w:t>
      </w:r>
    </w:p>
    <w:p>
      <w:pPr>
        <w:pStyle w:val="Heading3"/>
        <w:spacing w:after="80" w:before="180"/>
      </w:pPr>
      <w:r>
        <w:rPr>
          <w:b/>
          <w:bCs/>
          <w:color w:val="595959"/>
        </w:rPr>
        <w:t xml:space="preserve">2 · Los bucles que el modelo no dibuja</w:t>
      </w:r>
    </w:p>
    <w:p>
      <w:pPr>
        <w:spacing w:after="120"/>
      </w:pPr>
      <w:r>
        <w:rPr>
          <w:b w:val="false"/>
          <w:bCs w:val="false"/>
          <w:i w:val="false"/>
          <w:iCs w:val="false"/>
        </w:rPr>
        <w:t xml:space="preserve">En la práctica, mientras el estudiante analiza vuelve constantemente al sistema de sí mismo a comprobar si esto sigue valiendo la pena, y al metacognitivo a reajustar la meta. Eso ocurre decenas de veces en una hora. La figura de las tres compuertas en serie —la que hemos usado todo el curso— simplifica ese ir y venir. Es un mapa útil, no una fotografía.</w:t>
      </w:r>
    </w:p>
    <w:p>
      <w:pPr>
        <w:pStyle w:val="Heading3"/>
        <w:spacing w:after="80" w:before="180"/>
      </w:pPr>
      <w:r>
        <w:rPr>
          <w:b/>
          <w:bCs/>
          <w:color w:val="595959"/>
        </w:rPr>
        <w:t xml:space="preserve">3 · Poca replicación independiente</w:t>
      </w:r>
    </w:p>
    <w:p>
      <w:pPr>
        <w:spacing w:after="120"/>
      </w:pPr>
      <w:r>
        <w:rPr>
          <w:b w:val="false"/>
          <w:bCs w:val="false"/>
          <w:i w:val="false"/>
          <w:iCs w:val="false"/>
        </w:rPr>
        <w:t xml:space="preserve">Han pasado casi veinte años y el volumen de investigación empírica independiente sobre este modelo sigue siendo muy inferior al de Bloom o su revisión. No significa que sea falso; significa que hay menos evidencia externa de la que le gustaría tener a quien lo adopta para una institución entera.</w:t>
      </w:r>
    </w:p>
    <w:p>
      <w:pPr>
        <w:pStyle w:val="Heading3"/>
        <w:spacing w:after="80" w:before="180"/>
      </w:pPr>
      <w:r>
        <w:rPr>
          <w:b/>
          <w:bCs/>
          <w:color w:val="595959"/>
        </w:rPr>
        <w:t xml:space="preserve">Y una dificultad práctica que no es del modelo sino de nosotros</w:t>
      </w:r>
    </w:p>
    <w:p>
      <w:pPr>
        <w:spacing w:after="120"/>
      </w:pPr>
      <w:r>
        <w:rPr>
          <w:b w:val="false"/>
          <w:bCs w:val="false"/>
          <w:i w:val="false"/>
          <w:iCs w:val="false"/>
        </w:rPr>
        <w:t xml:space="preserve">Cruzar tres sistemas por seis niveles por tres dominios es mucho para sostener en la cabeza mientras se planea el lunes por la mañana. Lo que se reporta que pasa en las escuelas que lo adoptan de golpe es que terminan usando solo el sistema cognitivo —la parte que ya se parecía a Bloom— y dejando fuera justamente lo que hacía distinto al modelo. Por eso este curso lo entregó en seis pasos y empezó por las compuertas.</w:t>
      </w:r>
    </w:p>
    <w:p>
      <w:pPr>
        <w:pStyle w:val="Heading2"/>
        <w:spacing w:after="100" w:before="240"/>
      </w:pPr>
      <w:r>
        <w:rPr>
          <w:color w:val="1F4E79"/>
        </w:rPr>
        <w:t xml:space="preserve">Su decisión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400"/>
            <w:shd w:fill="DCE6F1" w:val="clear"/>
            <w:tcMar>
              <w:top w:type="dxa" w:w="80"/>
              <w:left w:type="dxa" w:w="120"/>
              <w:bottom w:type="dxa" w:w="80"/>
              <w:right w:type="dxa" w:w="120"/>
            </w:tcMar>
          </w:tcPr>
          <w:p>
            <w:r>
              <w:rPr>
                <w:b/>
                <w:bCs/>
                <w:sz w:val="19"/>
                <w:szCs w:val="19"/>
              </w:rPr>
              <w:t xml:space="preserve">Situación de mi práctica</w:t>
            </w:r>
          </w:p>
        </w:tc>
        <w:tc>
          <w:tcPr>
            <w:tcW w:type="dxa" w:w="2400"/>
            <w:shd w:fill="DCE6F1" w:val="clear"/>
            <w:tcMar>
              <w:top w:type="dxa" w:w="80"/>
              <w:left w:type="dxa" w:w="120"/>
              <w:bottom w:type="dxa" w:w="80"/>
              <w:right w:type="dxa" w:w="120"/>
            </w:tcMar>
          </w:tcPr>
          <w:p>
            <w:r>
              <w:rPr>
                <w:b/>
                <w:bCs/>
                <w:sz w:val="19"/>
                <w:szCs w:val="19"/>
              </w:rPr>
              <w:t xml:space="preserve">Qué marco usaría</w:t>
            </w:r>
          </w:p>
        </w:tc>
        <w:tc>
          <w:tcPr>
            <w:tcW w:type="dxa" w:w="3400"/>
            <w:shd w:fill="DCE6F1" w:val="clear"/>
            <w:tcMar>
              <w:top w:type="dxa" w:w="80"/>
              <w:left w:type="dxa" w:w="120"/>
              <w:bottom w:type="dxa" w:w="80"/>
              <w:right w:type="dxa" w:w="120"/>
            </w:tcMar>
          </w:tcPr>
          <w:p>
            <w:r>
              <w:rPr>
                <w:b/>
                <w:bCs/>
                <w:sz w:val="19"/>
                <w:szCs w:val="19"/>
              </w:rPr>
              <w:t xml:space="preserve">Por qué</w:t>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Los cuatro marcos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2026-08-05T02:32:10.897Z</dcterms:created>
  <dcterms:modified xsi:type="dcterms:W3CDTF">2026-08-05T02:32:10.897Z</dcterms:modified>
</cp:coreProperties>
</file>

<file path=docProps/custom.xml><?xml version="1.0" encoding="utf-8"?>
<Properties xmlns="http://schemas.openxmlformats.org/officeDocument/2006/custom-properties" xmlns:vt="http://schemas.openxmlformats.org/officeDocument/2006/docPropsVTypes"/>
</file>