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Los tres materiales del módulo 2</w:t>
      </w:r>
    </w:p>
    <w:p>
      <w:pPr>
        <w:spacing w:after="240"/>
      </w:pPr>
      <w:r>
        <w:rPr>
          <w:b/>
          <w:bCs/>
          <w:sz w:val="26"/>
          <w:szCs w:val="26"/>
        </w:rPr>
        <w:t xml:space="preserve">Clase 5 · Todo en un solo archivo</w:t>
      </w:r>
    </w:p>
    <w:p>
      <w:pPr>
        <w:spacing w:after="120"/>
      </w:pPr>
      <w:r>
        <w:rPr>
          <w:b w:val="false"/>
          <w:bCs w:val="false"/>
          <w:i w:val="false"/>
          <w:iCs w:val="false"/>
        </w:rPr>
        <w:t xml:space="preserve">Este documento reúne las tres hojas de práctica de las unidades 2.1, 2.2 y 2.3. Si ya las descargó por separado, no necesita esta.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CE6F1" w:val="clear"/>
            <w:tcMar>
              <w:top w:type="dxa" w:w="80"/>
              <w:left w:type="dxa" w:w="120"/>
              <w:bottom w:type="dxa" w:w="80"/>
              <w:right w:type="dxa" w:w="120"/>
            </w:tcMar>
          </w:tcPr>
          <w:p>
            <w:r>
              <w:rPr>
                <w:b/>
                <w:bCs/>
                <w:sz w:val="19"/>
                <w:szCs w:val="19"/>
              </w:rPr>
              <w:t xml:space="preserve">Unidad</w:t>
            </w:r>
          </w:p>
        </w:tc>
        <w:tc>
          <w:tcPr>
            <w:tcW w:type="dxa" w:w="3400"/>
            <w:shd w:fill="DCE6F1" w:val="clear"/>
            <w:tcMar>
              <w:top w:type="dxa" w:w="80"/>
              <w:left w:type="dxa" w:w="120"/>
              <w:bottom w:type="dxa" w:w="80"/>
              <w:right w:type="dxa" w:w="120"/>
            </w:tcMar>
          </w:tcPr>
          <w:p>
            <w:r>
              <w:rPr>
                <w:b/>
                <w:bCs/>
                <w:sz w:val="19"/>
                <w:szCs w:val="19"/>
              </w:rPr>
              <w:t xml:space="preserve">Material</w:t>
            </w:r>
          </w:p>
        </w:tc>
        <w:tc>
          <w:tcPr>
            <w:tcW w:type="dxa" w:w="4600"/>
            <w:shd w:fill="DCE6F1" w:val="clear"/>
            <w:tcMar>
              <w:top w:type="dxa" w:w="80"/>
              <w:left w:type="dxa" w:w="120"/>
              <w:bottom w:type="dxa" w:w="80"/>
              <w:right w:type="dxa" w:w="120"/>
            </w:tcMar>
          </w:tcPr>
          <w:p>
            <w:r>
              <w:rPr>
                <w:b/>
                <w:bCs/>
                <w:sz w:val="19"/>
                <w:szCs w:val="19"/>
              </w:rPr>
              <w:t xml:space="preserve">Para qué</w:t>
            </w:r>
          </w:p>
        </w:tc>
      </w:tr>
      <w:tr>
        <w:tc>
          <w:tcPr>
            <w:tcW w:type="dxa" w:w="1200"/>
            <w:tcMar>
              <w:top w:type="dxa" w:w="80"/>
              <w:left w:type="dxa" w:w="120"/>
              <w:bottom w:type="dxa" w:w="80"/>
              <w:right w:type="dxa" w:w="120"/>
            </w:tcMar>
          </w:tcPr>
          <w:p>
            <w:r>
              <w:rPr>
                <w:b w:val="false"/>
                <w:bCs w:val="false"/>
                <w:sz w:val="19"/>
                <w:szCs w:val="19"/>
              </w:rPr>
              <w:t xml:space="preserve">2.1</w:t>
            </w:r>
          </w:p>
        </w:tc>
        <w:tc>
          <w:tcPr>
            <w:tcW w:type="dxa" w:w="3400"/>
            <w:tcMar>
              <w:top w:type="dxa" w:w="80"/>
              <w:left w:type="dxa" w:w="120"/>
              <w:bottom w:type="dxa" w:w="80"/>
              <w:right w:type="dxa" w:w="120"/>
            </w:tcMar>
          </w:tcPr>
          <w:p>
            <w:r>
              <w:rPr>
                <w:b w:val="false"/>
                <w:bCs w:val="false"/>
                <w:sz w:val="19"/>
                <w:szCs w:val="19"/>
              </w:rPr>
              <w:t xml:space="preserve">¿En qué compuerta se quedó?</w:t>
            </w:r>
          </w:p>
        </w:tc>
        <w:tc>
          <w:tcPr>
            <w:tcW w:type="dxa" w:w="4600"/>
            <w:tcMar>
              <w:top w:type="dxa" w:w="80"/>
              <w:left w:type="dxa" w:w="120"/>
              <w:bottom w:type="dxa" w:w="80"/>
              <w:right w:type="dxa" w:w="120"/>
            </w:tcMar>
          </w:tcPr>
          <w:p>
            <w:r>
              <w:rPr>
                <w:b w:val="false"/>
                <w:bCs w:val="false"/>
                <w:sz w:val="19"/>
                <w:szCs w:val="19"/>
              </w:rPr>
              <w:t xml:space="preserve">Ubicar a tres estudiantes suyos en el recorrido</w:t>
            </w:r>
          </w:p>
        </w:tc>
      </w:tr>
      <w:tr>
        <w:tc>
          <w:tcPr>
            <w:tcW w:type="dxa" w:w="1200"/>
            <w:tcMar>
              <w:top w:type="dxa" w:w="80"/>
              <w:left w:type="dxa" w:w="120"/>
              <w:bottom w:type="dxa" w:w="80"/>
              <w:right w:type="dxa" w:w="120"/>
            </w:tcMar>
          </w:tcPr>
          <w:p>
            <w:r>
              <w:rPr>
                <w:b w:val="false"/>
                <w:bCs w:val="false"/>
                <w:sz w:val="19"/>
                <w:szCs w:val="19"/>
              </w:rPr>
              <w:t xml:space="preserve">2.2</w:t>
            </w:r>
          </w:p>
        </w:tc>
        <w:tc>
          <w:tcPr>
            <w:tcW w:type="dxa" w:w="3400"/>
            <w:tcMar>
              <w:top w:type="dxa" w:w="80"/>
              <w:left w:type="dxa" w:w="120"/>
              <w:bottom w:type="dxa" w:w="80"/>
              <w:right w:type="dxa" w:w="120"/>
            </w:tcMar>
          </w:tcPr>
          <w:p>
            <w:r>
              <w:rPr>
                <w:b w:val="false"/>
                <w:bCs w:val="false"/>
                <w:sz w:val="19"/>
                <w:szCs w:val="19"/>
              </w:rPr>
              <w:t xml:space="preserve">Las frases de mi salón</w:t>
            </w:r>
          </w:p>
        </w:tc>
        <w:tc>
          <w:tcPr>
            <w:tcW w:type="dxa" w:w="4600"/>
            <w:tcMar>
              <w:top w:type="dxa" w:w="80"/>
              <w:left w:type="dxa" w:w="120"/>
              <w:bottom w:type="dxa" w:w="80"/>
              <w:right w:type="dxa" w:w="120"/>
            </w:tcMar>
          </w:tcPr>
          <w:p>
            <w:r>
              <w:rPr>
                <w:b w:val="false"/>
                <w:bCs w:val="false"/>
                <w:sz w:val="19"/>
                <w:szCs w:val="19"/>
              </w:rPr>
              <w:t xml:space="preserve">Recoger las frases reales que oye y ubicarlas por filtro</w:t>
            </w:r>
          </w:p>
        </w:tc>
      </w:tr>
      <w:tr>
        <w:tc>
          <w:tcPr>
            <w:tcW w:type="dxa" w:w="1200"/>
            <w:tcMar>
              <w:top w:type="dxa" w:w="80"/>
              <w:left w:type="dxa" w:w="120"/>
              <w:bottom w:type="dxa" w:w="80"/>
              <w:right w:type="dxa" w:w="120"/>
            </w:tcMar>
          </w:tcPr>
          <w:p>
            <w:r>
              <w:rPr>
                <w:b w:val="false"/>
                <w:bCs w:val="false"/>
                <w:sz w:val="19"/>
                <w:szCs w:val="19"/>
              </w:rPr>
              <w:t xml:space="preserve">2.3</w:t>
            </w:r>
          </w:p>
        </w:tc>
        <w:tc>
          <w:tcPr>
            <w:tcW w:type="dxa" w:w="3400"/>
            <w:tcMar>
              <w:top w:type="dxa" w:w="80"/>
              <w:left w:type="dxa" w:w="120"/>
              <w:bottom w:type="dxa" w:w="80"/>
              <w:right w:type="dxa" w:w="120"/>
            </w:tcMar>
          </w:tcPr>
          <w:p>
            <w:r>
              <w:rPr>
                <w:b w:val="false"/>
                <w:bCs w:val="false"/>
                <w:sz w:val="19"/>
                <w:szCs w:val="19"/>
              </w:rPr>
              <w:t xml:space="preserve">Los cuatro movimientos</w:t>
            </w:r>
          </w:p>
        </w:tc>
        <w:tc>
          <w:tcPr>
            <w:tcW w:type="dxa" w:w="4600"/>
            <w:tcMar>
              <w:top w:type="dxa" w:w="80"/>
              <w:left w:type="dxa" w:w="120"/>
              <w:bottom w:type="dxa" w:w="80"/>
              <w:right w:type="dxa" w:w="120"/>
            </w:tcMar>
          </w:tcPr>
          <w:p>
            <w:r>
              <w:rPr>
                <w:b w:val="false"/>
                <w:bCs w:val="false"/>
                <w:sz w:val="19"/>
                <w:szCs w:val="19"/>
              </w:rPr>
              <w:t xml:space="preserve">Qué abre cada cerradura, con ejemplos</w:t>
            </w:r>
          </w:p>
        </w:tc>
      </w:tr>
    </w:tbl>
    <w:p>
      <w:pPr>
        <w:pageBreakBefore/>
      </w:pPr>
    </w:p>
    <w:p>
      <w:pPr>
        <w:spacing w:after="120"/>
      </w:pPr>
      <w:r>
        <w:rPr>
          <w:b w:val="false"/>
          <w:bCs w:val="false"/>
          <w:i w:val="false"/>
          <w:iCs w:val="false"/>
        </w:rPr>
        <w:t xml:space="preserve">Cuando un estudiante no aprendió, la pregunta habitual es “¿qué no entendió?”. Esa pregunta ya asume que llegó al contenido. La pregunta anterior es otra: ¿en qué compuerta se detuvo?</w:t>
      </w:r>
    </w:p>
    <w:p>
      <w:pPr>
        <w:pStyle w:val="Heading2"/>
        <w:spacing w:after="100" w:before="240"/>
      </w:pPr>
      <w:r>
        <w:rPr>
          <w:color w:val="1F4E79"/>
        </w:rPr>
        <w:t xml:space="preserve">Las señales de cada compuerta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CE6F1" w:val="clear"/>
            <w:tcMar>
              <w:top w:type="dxa" w:w="80"/>
              <w:left w:type="dxa" w:w="120"/>
              <w:bottom w:type="dxa" w:w="80"/>
              <w:right w:type="dxa" w:w="120"/>
            </w:tcMar>
          </w:tcPr>
          <w:p>
            <w:r>
              <w:rPr>
                <w:b/>
                <w:bCs/>
                <w:sz w:val="19"/>
                <w:szCs w:val="19"/>
              </w:rPr>
              <w:t xml:space="preserve">Se quedó en…</w:t>
            </w:r>
          </w:p>
        </w:tc>
        <w:tc>
          <w:tcPr>
            <w:tcW w:type="dxa" w:w="4200"/>
            <w:shd w:fill="DCE6F1" w:val="clear"/>
            <w:tcMar>
              <w:top w:type="dxa" w:w="80"/>
              <w:left w:type="dxa" w:w="120"/>
              <w:bottom w:type="dxa" w:w="80"/>
              <w:right w:type="dxa" w:w="120"/>
            </w:tcMar>
          </w:tcPr>
          <w:p>
            <w:r>
              <w:rPr>
                <w:b/>
                <w:bCs/>
                <w:sz w:val="19"/>
                <w:szCs w:val="19"/>
              </w:rPr>
              <w:t xml:space="preserve">Lo que se ve</w:t>
            </w:r>
          </w:p>
        </w:tc>
        <w:tc>
          <w:tcPr>
            <w:tcW w:type="dxa" w:w="2400"/>
            <w:shd w:fill="DCE6F1" w:val="clear"/>
            <w:tcMar>
              <w:top w:type="dxa" w:w="80"/>
              <w:left w:type="dxa" w:w="120"/>
              <w:bottom w:type="dxa" w:w="80"/>
              <w:right w:type="dxa" w:w="120"/>
            </w:tcMar>
          </w:tcPr>
          <w:p>
            <w:r>
              <w:rPr>
                <w:b/>
                <w:bCs/>
                <w:sz w:val="19"/>
                <w:szCs w:val="19"/>
              </w:rPr>
              <w:t xml:space="preserve">Lo que NO sirve hacer</w:t>
            </w:r>
          </w:p>
        </w:tc>
      </w:tr>
      <w:tr>
        <w:tc>
          <w:tcPr>
            <w:tcW w:type="dxa" w:w="2600"/>
            <w:tcMar>
              <w:top w:type="dxa" w:w="80"/>
              <w:left w:type="dxa" w:w="120"/>
              <w:bottom w:type="dxa" w:w="80"/>
              <w:right w:type="dxa" w:w="120"/>
            </w:tcMar>
          </w:tcPr>
          <w:p>
            <w:r>
              <w:rPr>
                <w:b w:val="false"/>
                <w:bCs w:val="false"/>
                <w:sz w:val="19"/>
                <w:szCs w:val="19"/>
              </w:rPr>
              <w:t xml:space="preserve">Compuerta 1 — Sistema de sí mismo</w:t>
            </w:r>
          </w:p>
        </w:tc>
        <w:tc>
          <w:tcPr>
            <w:tcW w:type="dxa" w:w="4200"/>
            <w:tcMar>
              <w:top w:type="dxa" w:w="80"/>
              <w:left w:type="dxa" w:w="120"/>
              <w:bottom w:type="dxa" w:w="80"/>
              <w:right w:type="dxa" w:w="120"/>
            </w:tcMar>
          </w:tcPr>
          <w:p>
            <w:r>
              <w:rPr>
                <w:b w:val="false"/>
                <w:bCs w:val="false"/>
                <w:sz w:val="19"/>
                <w:szCs w:val="19"/>
              </w:rPr>
              <w:t xml:space="preserve">No arranca. Se distrae desde el principio. Dice “esto para qué sirve” o “yo soy malo para esto”. Entrega en blanco o no entrega. La misma actitud con cualquier tema de la asignatura.</w:t>
            </w:r>
          </w:p>
        </w:tc>
        <w:tc>
          <w:tcPr>
            <w:tcW w:type="dxa" w:w="2400"/>
            <w:tcMar>
              <w:top w:type="dxa" w:w="80"/>
              <w:left w:type="dxa" w:w="120"/>
              <w:bottom w:type="dxa" w:w="80"/>
              <w:right w:type="dxa" w:w="120"/>
            </w:tcMar>
          </w:tcPr>
          <w:p>
            <w:r>
              <w:rPr>
                <w:b w:val="false"/>
                <w:bCs w:val="false"/>
                <w:sz w:val="19"/>
                <w:szCs w:val="19"/>
              </w:rPr>
              <w:t xml:space="preserve">Explicar mejor. El contenido no está llegando a ninguna parte.</w:t>
            </w:r>
          </w:p>
        </w:tc>
      </w:tr>
      <w:tr>
        <w:tc>
          <w:tcPr>
            <w:tcW w:type="dxa" w:w="2600"/>
            <w:tcMar>
              <w:top w:type="dxa" w:w="80"/>
              <w:left w:type="dxa" w:w="120"/>
              <w:bottom w:type="dxa" w:w="80"/>
              <w:right w:type="dxa" w:w="120"/>
            </w:tcMar>
          </w:tcPr>
          <w:p>
            <w:r>
              <w:rPr>
                <w:b w:val="false"/>
                <w:bCs w:val="false"/>
                <w:sz w:val="19"/>
                <w:szCs w:val="19"/>
              </w:rPr>
              <w:t xml:space="preserve">Compuerta 2 — Sistema metacognitivo</w:t>
            </w:r>
          </w:p>
        </w:tc>
        <w:tc>
          <w:tcPr>
            <w:tcW w:type="dxa" w:w="4200"/>
            <w:tcMar>
              <w:top w:type="dxa" w:w="80"/>
              <w:left w:type="dxa" w:w="120"/>
              <w:bottom w:type="dxa" w:w="80"/>
              <w:right w:type="dxa" w:w="120"/>
            </w:tcMar>
          </w:tcPr>
          <w:p>
            <w:r>
              <w:rPr>
                <w:b w:val="false"/>
                <w:bCs w:val="false"/>
                <w:sz w:val="19"/>
                <w:szCs w:val="19"/>
              </w:rPr>
              <w:t xml:space="preserve">Quiere y lo intenta. Trabaja mucho tiempo y avanza poco. No sabe si va bien. Empieza por donde caiga. Se agota y se frustra.</w:t>
            </w:r>
          </w:p>
        </w:tc>
        <w:tc>
          <w:tcPr>
            <w:tcW w:type="dxa" w:w="2400"/>
            <w:tcMar>
              <w:top w:type="dxa" w:w="80"/>
              <w:left w:type="dxa" w:w="120"/>
              <w:bottom w:type="dxa" w:w="80"/>
              <w:right w:type="dxa" w:w="120"/>
            </w:tcMar>
          </w:tcPr>
          <w:p>
            <w:r>
              <w:rPr>
                <w:b w:val="false"/>
                <w:bCs w:val="false"/>
                <w:sz w:val="19"/>
                <w:szCs w:val="19"/>
              </w:rPr>
              <w:t xml:space="preserve">Darle más tiempo o más ejercicios. No es cantidad: es que no se está vigilando.</w:t>
            </w:r>
          </w:p>
        </w:tc>
      </w:tr>
      <w:tr>
        <w:tc>
          <w:tcPr>
            <w:tcW w:type="dxa" w:w="2600"/>
            <w:tcMar>
              <w:top w:type="dxa" w:w="80"/>
              <w:left w:type="dxa" w:w="120"/>
              <w:bottom w:type="dxa" w:w="80"/>
              <w:right w:type="dxa" w:w="120"/>
            </w:tcMar>
          </w:tcPr>
          <w:p>
            <w:r>
              <w:rPr>
                <w:b w:val="false"/>
                <w:bCs w:val="false"/>
                <w:sz w:val="19"/>
                <w:szCs w:val="19"/>
              </w:rPr>
              <w:t xml:space="preserve">Compuerta 3 — Sistema cognitivo</w:t>
            </w:r>
          </w:p>
        </w:tc>
        <w:tc>
          <w:tcPr>
            <w:tcW w:type="dxa" w:w="4200"/>
            <w:tcMar>
              <w:top w:type="dxa" w:w="80"/>
              <w:left w:type="dxa" w:w="120"/>
              <w:bottom w:type="dxa" w:w="80"/>
              <w:right w:type="dxa" w:w="120"/>
            </w:tcMar>
          </w:tcPr>
          <w:p>
            <w:r>
              <w:rPr>
                <w:b w:val="false"/>
                <w:bCs w:val="false"/>
                <w:sz w:val="19"/>
                <w:szCs w:val="19"/>
              </w:rPr>
              <w:t xml:space="preserve">Entró, se organizó y aun así falla. El error es concreto y localizable: un paso, un concepto, un procedimiento.</w:t>
            </w:r>
          </w:p>
        </w:tc>
        <w:tc>
          <w:tcPr>
            <w:tcW w:type="dxa" w:w="2400"/>
            <w:tcMar>
              <w:top w:type="dxa" w:w="80"/>
              <w:left w:type="dxa" w:w="120"/>
              <w:bottom w:type="dxa" w:w="80"/>
              <w:right w:type="dxa" w:w="120"/>
            </w:tcMar>
          </w:tcPr>
          <w:p>
            <w:r>
              <w:rPr>
                <w:b w:val="false"/>
                <w:bCs w:val="false"/>
                <w:sz w:val="19"/>
                <w:szCs w:val="19"/>
              </w:rPr>
              <w:t xml:space="preserve">Nada: aquí sí funciona explicar, dar más ejemplos y practicar.</w:t>
            </w:r>
          </w:p>
        </w:tc>
      </w:tr>
    </w:tbl>
    <w:p>
      <w:pPr>
        <w:pBdr>
          <w:left w:val="single" w:color="C99A1E" w:sz="18"/>
        </w:pBdr>
        <w:spacing w:after="200" w:before="120"/>
        <w:ind w:left="200"/>
      </w:pPr>
      <w:r>
        <w:rPr>
          <w:i/>
          <w:iCs/>
        </w:rPr>
        <w:t xml:space="preserve">Tres diagnósticos distintos, tres soluciones distintas. Casi siempre aplicamos la tercera solución a los tres problemas.</w:t>
      </w:r>
    </w:p>
    <w:p>
      <w:pPr>
        <w:pStyle w:val="Heading2"/>
        <w:spacing w:after="100" w:before="240"/>
      </w:pPr>
      <w:r>
        <w:rPr>
          <w:color w:val="1F4E79"/>
        </w:rPr>
        <w:t xml:space="preserve">Tres estudiantes suyos</w:t>
      </w:r>
    </w:p>
    <w:p>
      <w:pPr>
        <w:spacing w:after="120"/>
      </w:pPr>
      <w:r>
        <w:rPr>
          <w:b w:val="false"/>
          <w:bCs w:val="false"/>
          <w:i w:val="false"/>
          <w:iCs w:val="false"/>
        </w:rPr>
        <w:t xml:space="preserve">Piense en tres estudiantes concretos que no aprendieron lo que usted enseñaba. Sin buscar culpables: ¿en cuál compuerta se quedó cada uno, y en qué se apoya para decirlo?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CE6F1" w:val="clear"/>
            <w:tcMar>
              <w:top w:type="dxa" w:w="80"/>
              <w:left w:type="dxa" w:w="120"/>
              <w:bottom w:type="dxa" w:w="80"/>
              <w:right w:type="dxa" w:w="120"/>
            </w:tcMar>
          </w:tcPr>
          <w:p>
            <w:r>
              <w:rPr>
                <w:b/>
                <w:bCs/>
                <w:sz w:val="19"/>
                <w:szCs w:val="19"/>
              </w:rPr>
              <w:t xml:space="preserve">Estudiante (iniciales)</w:t>
            </w:r>
          </w:p>
        </w:tc>
        <w:tc>
          <w:tcPr>
            <w:tcW w:type="dxa" w:w="1800"/>
            <w:shd w:fill="DCE6F1" w:val="clear"/>
            <w:tcMar>
              <w:top w:type="dxa" w:w="80"/>
              <w:left w:type="dxa" w:w="120"/>
              <w:bottom w:type="dxa" w:w="80"/>
              <w:right w:type="dxa" w:w="120"/>
            </w:tcMar>
          </w:tcPr>
          <w:p>
            <w:r>
              <w:rPr>
                <w:b/>
                <w:bCs/>
                <w:sz w:val="19"/>
                <w:szCs w:val="19"/>
              </w:rPr>
              <w:t xml:space="preserve">Compuerta</w:t>
            </w:r>
          </w:p>
        </w:tc>
        <w:tc>
          <w:tcPr>
            <w:tcW w:type="dxa" w:w="5000"/>
            <w:shd w:fill="DCE6F1" w:val="clear"/>
            <w:tcMar>
              <w:top w:type="dxa" w:w="80"/>
              <w:left w:type="dxa" w:w="120"/>
              <w:bottom w:type="dxa" w:w="80"/>
              <w:right w:type="dxa" w:w="120"/>
            </w:tcMar>
          </w:tcPr>
          <w:p>
            <w:r>
              <w:rPr>
                <w:b/>
                <w:bCs/>
                <w:sz w:val="19"/>
                <w:szCs w:val="19"/>
              </w:rPr>
              <w:t xml:space="preserve">En qué me apoyo para decirlo</w:t>
            </w:r>
          </w:p>
        </w:tc>
      </w:tr>
      <w:tr>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Una pregunta incómoda</w:t>
      </w:r>
    </w:p>
    <w:p>
      <w:pPr>
        <w:spacing w:after="120"/>
      </w:pPr>
      <w:r>
        <w:rPr>
          <w:b w:val="false"/>
          <w:bCs w:val="false"/>
          <w:i w:val="false"/>
          <w:iCs w:val="false"/>
        </w:rPr>
        <w:t xml:space="preserve">Si no está segura de en qué compuerta se quedó alguno, esa incertidumbre también es un hallazgo: significa que probablemente lo tratamos como si fuera la tercera.</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2 · ¿En qué compuerta se quedó? · Uso educativo.</w:t>
      </w:r>
    </w:p>
    <w:p>
      <w:pPr>
        <w:pageBreakBefore/>
      </w:pPr>
    </w:p>
    <w:p>
      <w:pPr>
        <w:spacing w:after="120"/>
      </w:pPr>
      <w:r>
        <w:rPr>
          <w:b w:val="false"/>
          <w:bCs w:val="false"/>
          <w:i w:val="false"/>
          <w:iCs w:val="false"/>
        </w:rPr>
        <w:t xml:space="preserve">La primera compuerta no es una sola decisión: son cuatro exámenes que el estudiante hace casi instantáneamente y sin darse cuenta. Cada uno suena distinto.</w:t>
      </w:r>
    </w:p>
    <w:p>
      <w:pPr>
        <w:pStyle w:val="Heading2"/>
        <w:spacing w:after="100" w:before="240"/>
      </w:pPr>
      <w:r>
        <w:rPr>
          <w:color w:val="1F4E79"/>
        </w:rPr>
        <w:t xml:space="preserve">Cómo suena cada filtro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CE6F1" w:val="clear"/>
            <w:tcMar>
              <w:top w:type="dxa" w:w="80"/>
              <w:left w:type="dxa" w:w="120"/>
              <w:bottom w:type="dxa" w:w="80"/>
              <w:right w:type="dxa" w:w="120"/>
            </w:tcMar>
          </w:tcPr>
          <w:p>
            <w:r>
              <w:rPr>
                <w:b/>
                <w:bCs/>
                <w:sz w:val="19"/>
                <w:szCs w:val="19"/>
              </w:rPr>
              <w:t xml:space="preserve">Filtro</w:t>
            </w:r>
          </w:p>
        </w:tc>
        <w:tc>
          <w:tcPr>
            <w:tcW w:type="dxa" w:w="2200"/>
            <w:shd w:fill="DCE6F1" w:val="clear"/>
            <w:tcMar>
              <w:top w:type="dxa" w:w="80"/>
              <w:left w:type="dxa" w:w="120"/>
              <w:bottom w:type="dxa" w:w="80"/>
              <w:right w:type="dxa" w:w="120"/>
            </w:tcMar>
          </w:tcPr>
          <w:p>
            <w:r>
              <w:rPr>
                <w:b/>
                <w:bCs/>
                <w:sz w:val="19"/>
                <w:szCs w:val="19"/>
              </w:rPr>
              <w:t xml:space="preserve">La pregunta que se hace</w:t>
            </w:r>
          </w:p>
        </w:tc>
        <w:tc>
          <w:tcPr>
            <w:tcW w:type="dxa" w:w="5200"/>
            <w:shd w:fill="DCE6F1" w:val="clear"/>
            <w:tcMar>
              <w:top w:type="dxa" w:w="80"/>
              <w:left w:type="dxa" w:w="120"/>
              <w:bottom w:type="dxa" w:w="80"/>
              <w:right w:type="dxa" w:w="120"/>
            </w:tcMar>
          </w:tcPr>
          <w:p>
            <w:r>
              <w:rPr>
                <w:b/>
                <w:bCs/>
                <w:sz w:val="19"/>
                <w:szCs w:val="19"/>
              </w:rPr>
              <w:t xml:space="preserve">Cómo suena en voz alta</w:t>
            </w:r>
          </w:p>
        </w:tc>
      </w:tr>
      <w:tr>
        <w:tc>
          <w:tcPr>
            <w:tcW w:type="dxa" w:w="1800"/>
            <w:tcMar>
              <w:top w:type="dxa" w:w="80"/>
              <w:left w:type="dxa" w:w="120"/>
              <w:bottom w:type="dxa" w:w="80"/>
              <w:right w:type="dxa" w:w="120"/>
            </w:tcMar>
          </w:tcPr>
          <w:p>
            <w:r>
              <w:rPr>
                <w:b w:val="false"/>
                <w:bCs w:val="false"/>
                <w:sz w:val="19"/>
                <w:szCs w:val="19"/>
              </w:rPr>
              <w:t xml:space="preserve">Importancia</w:t>
            </w:r>
          </w:p>
        </w:tc>
        <w:tc>
          <w:tcPr>
            <w:tcW w:type="dxa" w:w="2200"/>
            <w:tcMar>
              <w:top w:type="dxa" w:w="80"/>
              <w:left w:type="dxa" w:w="120"/>
              <w:bottom w:type="dxa" w:w="80"/>
              <w:right w:type="dxa" w:w="120"/>
            </w:tcMar>
          </w:tcPr>
          <w:p>
            <w:r>
              <w:rPr>
                <w:b w:val="false"/>
                <w:bCs w:val="false"/>
                <w:sz w:val="19"/>
                <w:szCs w:val="19"/>
              </w:rPr>
              <w:t xml:space="preserve">¿Esto me importa?</w:t>
            </w:r>
          </w:p>
        </w:tc>
        <w:tc>
          <w:tcPr>
            <w:tcW w:type="dxa" w:w="5200"/>
            <w:tcMar>
              <w:top w:type="dxa" w:w="80"/>
              <w:left w:type="dxa" w:w="120"/>
              <w:bottom w:type="dxa" w:w="80"/>
              <w:right w:type="dxa" w:w="120"/>
            </w:tcMar>
          </w:tcPr>
          <w:p>
            <w:r>
              <w:rPr>
                <w:b w:val="false"/>
                <w:bCs w:val="false"/>
                <w:sz w:val="19"/>
                <w:szCs w:val="19"/>
              </w:rPr>
              <w:t xml:space="preserve">“¿Y esto para qué me sirve?” · “Yo no voy a usar esto nunca” · “Esto es solo para pasar la materia”</w:t>
            </w:r>
          </w:p>
        </w:tc>
      </w:tr>
      <w:tr>
        <w:tc>
          <w:tcPr>
            <w:tcW w:type="dxa" w:w="1800"/>
            <w:tcMar>
              <w:top w:type="dxa" w:w="80"/>
              <w:left w:type="dxa" w:w="120"/>
              <w:bottom w:type="dxa" w:w="80"/>
              <w:right w:type="dxa" w:w="120"/>
            </w:tcMar>
          </w:tcPr>
          <w:p>
            <w:r>
              <w:rPr>
                <w:b w:val="false"/>
                <w:bCs w:val="false"/>
                <w:sz w:val="19"/>
                <w:szCs w:val="19"/>
              </w:rPr>
              <w:t xml:space="preserve">Eficacia</w:t>
            </w:r>
          </w:p>
        </w:tc>
        <w:tc>
          <w:tcPr>
            <w:tcW w:type="dxa" w:w="2200"/>
            <w:tcMar>
              <w:top w:type="dxa" w:w="80"/>
              <w:left w:type="dxa" w:w="120"/>
              <w:bottom w:type="dxa" w:w="80"/>
              <w:right w:type="dxa" w:w="120"/>
            </w:tcMar>
          </w:tcPr>
          <w:p>
            <w:r>
              <w:rPr>
                <w:b w:val="false"/>
                <w:bCs w:val="false"/>
                <w:sz w:val="19"/>
                <w:szCs w:val="19"/>
              </w:rPr>
              <w:t xml:space="preserve">¿Puedo con esto?</w:t>
            </w:r>
          </w:p>
        </w:tc>
        <w:tc>
          <w:tcPr>
            <w:tcW w:type="dxa" w:w="5200"/>
            <w:tcMar>
              <w:top w:type="dxa" w:w="80"/>
              <w:left w:type="dxa" w:w="120"/>
              <w:bottom w:type="dxa" w:w="80"/>
              <w:right w:type="dxa" w:w="120"/>
            </w:tcMar>
          </w:tcPr>
          <w:p>
            <w:r>
              <w:rPr>
                <w:b w:val="false"/>
                <w:bCs w:val="false"/>
                <w:sz w:val="19"/>
                <w:szCs w:val="19"/>
              </w:rPr>
              <w:t xml:space="preserve">“Yo soy malo para esto” · “Eso no es lo mío” · “Por más que estudie no me sale” · (o el silencio: nadie levanta la mano para decir que se siente incapaz)</w:t>
            </w:r>
          </w:p>
        </w:tc>
      </w:tr>
      <w:tr>
        <w:tc>
          <w:tcPr>
            <w:tcW w:type="dxa" w:w="1800"/>
            <w:tcMar>
              <w:top w:type="dxa" w:w="80"/>
              <w:left w:type="dxa" w:w="120"/>
              <w:bottom w:type="dxa" w:w="80"/>
              <w:right w:type="dxa" w:w="120"/>
            </w:tcMar>
          </w:tcPr>
          <w:p>
            <w:r>
              <w:rPr>
                <w:b w:val="false"/>
                <w:bCs w:val="false"/>
                <w:sz w:val="19"/>
                <w:szCs w:val="19"/>
              </w:rPr>
              <w:t xml:space="preserve">Respuesta emocional</w:t>
            </w:r>
          </w:p>
        </w:tc>
        <w:tc>
          <w:tcPr>
            <w:tcW w:type="dxa" w:w="2200"/>
            <w:tcMar>
              <w:top w:type="dxa" w:w="80"/>
              <w:left w:type="dxa" w:w="120"/>
              <w:bottom w:type="dxa" w:w="80"/>
              <w:right w:type="dxa" w:w="120"/>
            </w:tcMar>
          </w:tcPr>
          <w:p>
            <w:r>
              <w:rPr>
                <w:b w:val="false"/>
                <w:bCs w:val="false"/>
                <w:sz w:val="19"/>
                <w:szCs w:val="19"/>
              </w:rPr>
              <w:t xml:space="preserve">¿Cómo me hace sentir?</w:t>
            </w:r>
          </w:p>
        </w:tc>
        <w:tc>
          <w:tcPr>
            <w:tcW w:type="dxa" w:w="5200"/>
            <w:tcMar>
              <w:top w:type="dxa" w:w="80"/>
              <w:left w:type="dxa" w:w="120"/>
              <w:bottom w:type="dxa" w:w="80"/>
              <w:right w:type="dxa" w:w="120"/>
            </w:tcMar>
          </w:tcPr>
          <w:p>
            <w:r>
              <w:rPr>
                <w:b w:val="false"/>
                <w:bCs w:val="false"/>
                <w:sz w:val="19"/>
                <w:szCs w:val="19"/>
              </w:rPr>
              <w:t xml:space="preserve">“Esta materia me estresa” · “Me aburre” · “Cuando veo números me bloqueo”</w:t>
            </w:r>
          </w:p>
        </w:tc>
      </w:tr>
      <w:tr>
        <w:tc>
          <w:tcPr>
            <w:tcW w:type="dxa" w:w="1800"/>
            <w:tcMar>
              <w:top w:type="dxa" w:w="80"/>
              <w:left w:type="dxa" w:w="120"/>
              <w:bottom w:type="dxa" w:w="80"/>
              <w:right w:type="dxa" w:w="120"/>
            </w:tcMar>
          </w:tcPr>
          <w:p>
            <w:r>
              <w:rPr>
                <w:b w:val="false"/>
                <w:bCs w:val="false"/>
                <w:sz w:val="19"/>
                <w:szCs w:val="19"/>
              </w:rPr>
              <w:t xml:space="preserve">Motivación</w:t>
            </w:r>
          </w:p>
        </w:tc>
        <w:tc>
          <w:tcPr>
            <w:tcW w:type="dxa" w:w="2200"/>
            <w:tcMar>
              <w:top w:type="dxa" w:w="80"/>
              <w:left w:type="dxa" w:w="120"/>
              <w:bottom w:type="dxa" w:w="80"/>
              <w:right w:type="dxa" w:w="120"/>
            </w:tcMar>
          </w:tcPr>
          <w:p>
            <w:r>
              <w:rPr>
                <w:b w:val="false"/>
                <w:bCs w:val="false"/>
                <w:sz w:val="19"/>
                <w:szCs w:val="19"/>
              </w:rPr>
              <w:t xml:space="preserve">¿Vale la pena el esfuerzo?</w:t>
            </w:r>
          </w:p>
        </w:tc>
        <w:tc>
          <w:tcPr>
            <w:tcW w:type="dxa" w:w="5200"/>
            <w:tcMar>
              <w:top w:type="dxa" w:w="80"/>
              <w:left w:type="dxa" w:w="120"/>
              <w:bottom w:type="dxa" w:w="80"/>
              <w:right w:type="dxa" w:w="120"/>
            </w:tcMar>
          </w:tcPr>
          <w:p>
            <w:r>
              <w:rPr>
                <w:b w:val="false"/>
                <w:bCs w:val="false"/>
                <w:sz w:val="19"/>
                <w:szCs w:val="19"/>
              </w:rPr>
              <w:t xml:space="preserve">“Es mucho trabajo para lo que vale” · “Prefiero perder esa y salvar las otras” · “Con pasar raspando me basta”</w:t>
            </w:r>
          </w:p>
        </w:tc>
      </w:tr>
    </w:tbl>
    <w:p>
      <w:pPr>
        <w:pBdr>
          <w:left w:val="single" w:color="C99A1E" w:sz="18"/>
        </w:pBdr>
        <w:spacing w:after="200" w:before="120"/>
        <w:ind w:left="200"/>
      </w:pPr>
      <w:r>
        <w:rPr>
          <w:i/>
          <w:iCs/>
        </w:rPr>
        <w:t xml:space="preserve">Están en serie, no en paralelo: basta con que uno de los cuatro esté cerrado. Por eso una apertura que solo trabaja la motivación —“ánimo, ustedes pueden”— falla tan seguido: está empujando una puerta cerrada con otra llave.</w:t>
      </w:r>
    </w:p>
    <w:p>
      <w:pPr>
        <w:pStyle w:val="Heading2"/>
        <w:spacing w:after="100" w:before="240"/>
      </w:pPr>
      <w:r>
        <w:rPr>
          <w:color w:val="1F4E79"/>
        </w:rPr>
        <w:t xml:space="preserve">Ahora las suyas</w:t>
      </w:r>
    </w:p>
    <w:p>
      <w:pPr>
        <w:spacing w:after="120"/>
      </w:pPr>
      <w:r>
        <w:rPr>
          <w:b w:val="false"/>
          <w:bCs w:val="false"/>
          <w:i w:val="false"/>
          <w:iCs w:val="false"/>
        </w:rPr>
        <w:t xml:space="preserve">Escriba, junto a cada filtro, una o dos frases que haya oído de verdad en su salón. Con sus palabras, no con las del ejemplo.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DCE6F1" w:val="clear"/>
            <w:tcMar>
              <w:top w:type="dxa" w:w="80"/>
              <w:left w:type="dxa" w:w="120"/>
              <w:bottom w:type="dxa" w:w="80"/>
              <w:right w:type="dxa" w:w="120"/>
            </w:tcMar>
          </w:tcPr>
          <w:p>
            <w:r>
              <w:rPr>
                <w:b/>
                <w:bCs/>
                <w:sz w:val="19"/>
                <w:szCs w:val="19"/>
              </w:rPr>
              <w:t xml:space="preserve">Filtro</w:t>
            </w:r>
          </w:p>
        </w:tc>
        <w:tc>
          <w:tcPr>
            <w:tcW w:type="dxa" w:w="7000"/>
            <w:shd w:fill="DCE6F1" w:val="clear"/>
            <w:tcMar>
              <w:top w:type="dxa" w:w="80"/>
              <w:left w:type="dxa" w:w="120"/>
              <w:bottom w:type="dxa" w:w="80"/>
              <w:right w:type="dxa" w:w="120"/>
            </w:tcMar>
          </w:tcPr>
          <w:p>
            <w:r>
              <w:rPr>
                <w:b/>
                <w:bCs/>
                <w:sz w:val="19"/>
                <w:szCs w:val="19"/>
              </w:rPr>
              <w:t xml:space="preserve">Frases que oigo en mi salón</w:t>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7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7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7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7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3"/>
        <w:spacing w:after="80" w:before="180"/>
      </w:pPr>
      <w:r>
        <w:rPr>
          <w:b/>
          <w:bCs/>
          <w:color w:val="595959"/>
        </w:rPr>
        <w:t xml:space="preserve">Si algún filtro se le queda vacío</w:t>
      </w:r>
    </w:p>
    <w:p>
      <w:pPr>
        <w:spacing w:after="120"/>
      </w:pPr>
      <w:r>
        <w:rPr>
          <w:b w:val="false"/>
          <w:bCs w:val="false"/>
          <w:i w:val="false"/>
          <w:iCs w:val="false"/>
        </w:rPr>
        <w:t xml:space="preserve">No lo invente: anótelo. Un filtro sin frases suele significar una de dos cosas — que ese sí lo tiene resuelto, o que sus estudiantes no se sienten con confianza para decirlo en voz alta. El de la eficacia es el que más se calla.</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2 · Las frases de mi salón · Uso educativo.</w:t>
      </w:r>
    </w:p>
    <w:p>
      <w:pPr>
        <w:pageBreakBefore/>
      </w:pPr>
    </w:p>
    <w:p>
      <w:pPr>
        <w:spacing w:after="120"/>
      </w:pPr>
      <w:r>
        <w:rPr>
          <w:b w:val="false"/>
          <w:bCs w:val="false"/>
          <w:i w:val="false"/>
          <w:iCs w:val="false"/>
        </w:rPr>
        <w:t xml:space="preserve">No hay una técnica única. Hay cuatro, una por cerradura. Esta hoja es la herramienta con la que va a trabajar en la evaluación del módulo.</w:t>
      </w:r>
    </w:p>
    <w:p>
      <w:pPr>
        <w:pStyle w:val="Heading2"/>
        <w:spacing w:after="100" w:before="240"/>
      </w:pPr>
      <w:r>
        <w:rPr>
          <w:color w:val="1F4E79"/>
        </w:rPr>
        <w:t xml:space="preserve">1 · Para la importancia — conecte con algo que ya le importa</w:t>
      </w:r>
    </w:p>
    <w:p>
      <w:pPr>
        <w:spacing w:after="120"/>
      </w:pPr>
      <w:r>
        <w:rPr>
          <w:b w:val="false"/>
          <w:bCs w:val="false"/>
          <w:i w:val="false"/>
          <w:iCs w:val="false"/>
        </w:rPr>
        <w:t xml:space="preserve">No con lo que debería importarle. La diferencia entre “esto lo van a necesitar en la universidad” y “esto explica por qué le cobraron de más en el recibo” es la diferencia entre un valor prestado y uno propio.</w:t>
      </w:r>
    </w:p>
    <w:p>
      <w:pPr>
        <w:pStyle w:val="ListParagraph"/>
        <w:numPr>
          <w:ilvl w:val="0"/>
          <w:numId w:val="1"/>
        </w:numPr>
        <w:spacing w:after="80"/>
      </w:pPr>
      <w:r>
        <w:t xml:space="preserve">Empiece con una pregunta que el estudiante ya se ha hecho fuera de clase.</w:t>
      </w:r>
    </w:p>
    <w:p>
      <w:pPr>
        <w:pStyle w:val="ListParagraph"/>
        <w:numPr>
          <w:ilvl w:val="0"/>
          <w:numId w:val="1"/>
        </w:numPr>
        <w:spacing w:after="80"/>
      </w:pPr>
      <w:r>
        <w:t xml:space="preserve">Use un caso de su barrio, su casa o su celular antes que uno de un libro.</w:t>
      </w:r>
    </w:p>
    <w:p>
      <w:pPr>
        <w:pStyle w:val="ListParagraph"/>
        <w:numPr>
          <w:ilvl w:val="0"/>
          <w:numId w:val="1"/>
        </w:numPr>
        <w:spacing w:after="80"/>
      </w:pPr>
      <w:r>
        <w:t xml:space="preserve">Plantee un dilema donde su opinión importe, no un dato que haya que aceptar.</w:t>
      </w:r>
    </w:p>
    <w:p>
      <w:pPr>
        <w:pStyle w:val="Heading2"/>
        <w:spacing w:after="100" w:before="240"/>
      </w:pPr>
      <w:r>
        <w:rPr>
          <w:color w:val="1F4E79"/>
        </w:rPr>
        <w:t xml:space="preserve">2 · Para la eficacia — muestre que el primer paso está a su alcance</w:t>
      </w:r>
    </w:p>
    <w:p>
      <w:pPr>
        <w:spacing w:after="120"/>
      </w:pPr>
      <w:r>
        <w:rPr>
          <w:b w:val="false"/>
          <w:bCs w:val="false"/>
          <w:i w:val="false"/>
          <w:iCs w:val="false"/>
        </w:rPr>
        <w:t xml:space="preserve">La creencia de “no puedo” no se derrumba con un discurso; se derrumba con una experiencia pequeña de logro.</w:t>
      </w:r>
    </w:p>
    <w:p>
      <w:pPr>
        <w:pStyle w:val="ListParagraph"/>
        <w:numPr>
          <w:ilvl w:val="0"/>
          <w:numId w:val="1"/>
        </w:numPr>
        <w:spacing w:after="80"/>
      </w:pPr>
      <w:r>
        <w:t xml:space="preserve">Abra con una versión reducida de la tarea que casi cualquiera resuelve, y hágala visible.</w:t>
      </w:r>
    </w:p>
    <w:p>
      <w:pPr>
        <w:pStyle w:val="ListParagraph"/>
        <w:numPr>
          <w:ilvl w:val="0"/>
          <w:numId w:val="1"/>
        </w:numPr>
        <w:spacing w:after="80"/>
      </w:pPr>
      <w:r>
        <w:t xml:space="preserve">Diga en voz alta qué se necesita saber para entrar, y confirme que ya lo tienen.</w:t>
      </w:r>
    </w:p>
    <w:p>
      <w:pPr>
        <w:pStyle w:val="ListParagraph"/>
        <w:numPr>
          <w:ilvl w:val="0"/>
          <w:numId w:val="1"/>
        </w:numPr>
        <w:spacing w:after="80"/>
      </w:pPr>
      <w:r>
        <w:t xml:space="preserve">Evite abrir con lo más difícil “para que vean el reto”: cierra esta cerradura de golpe.</w:t>
      </w:r>
    </w:p>
    <w:p>
      <w:pPr>
        <w:pStyle w:val="Heading2"/>
        <w:spacing w:after="100" w:before="240"/>
      </w:pPr>
      <w:r>
        <w:rPr>
          <w:color w:val="1F4E79"/>
        </w:rPr>
        <w:t xml:space="preserve">3 · Para la respuesta emocional — cambie lo que el contenido despierta</w:t>
      </w:r>
    </w:p>
    <w:p>
      <w:pPr>
        <w:spacing w:after="120"/>
      </w:pPr>
      <w:r>
        <w:rPr>
          <w:b w:val="false"/>
          <w:bCs w:val="false"/>
          <w:i w:val="false"/>
          <w:iCs w:val="false"/>
        </w:rPr>
        <w:t xml:space="preserve">La curiosidad se provoca con una contradicción, una sorpresa, un dato que no cuadra. Y la ansiedad se baja con algo muy concreto.</w:t>
      </w:r>
    </w:p>
    <w:p>
      <w:pPr>
        <w:pStyle w:val="ListParagraph"/>
        <w:numPr>
          <w:ilvl w:val="0"/>
          <w:numId w:val="1"/>
        </w:numPr>
        <w:spacing w:after="80"/>
      </w:pPr>
      <w:r>
        <w:t xml:space="preserve">Muestre dos cosas que deberían ser distintas y son iguales, o al revés.</w:t>
      </w:r>
    </w:p>
    <w:p>
      <w:pPr>
        <w:pStyle w:val="ListParagraph"/>
        <w:numPr>
          <w:ilvl w:val="0"/>
          <w:numId w:val="1"/>
        </w:numPr>
        <w:spacing w:after="80"/>
      </w:pPr>
      <w:r>
        <w:t xml:space="preserve">Diga de antemano cómo se va a evaluar. Buena parte del miedo en un aula no es al contenido: es a la sanción imprevisible.</w:t>
      </w:r>
    </w:p>
    <w:p>
      <w:pPr>
        <w:pStyle w:val="ListParagraph"/>
        <w:numPr>
          <w:ilvl w:val="0"/>
          <w:numId w:val="1"/>
        </w:numPr>
        <w:spacing w:after="80"/>
      </w:pPr>
      <w:r>
        <w:t xml:space="preserve">Permita el error en voz alta al principio, cuando todavía no cuenta.</w:t>
      </w:r>
    </w:p>
    <w:p>
      <w:pPr>
        <w:pStyle w:val="Heading2"/>
        <w:spacing w:after="100" w:before="240"/>
      </w:pPr>
      <w:r>
        <w:rPr>
          <w:color w:val="1F4E79"/>
        </w:rPr>
        <w:t xml:space="preserve">4 · Para la motivación — haga visible la relación entre esfuerzo y resultado</w:t>
      </w:r>
    </w:p>
    <w:p>
      <w:pPr>
        <w:spacing w:after="120"/>
      </w:pPr>
      <w:r>
        <w:rPr>
          <w:b w:val="false"/>
          <w:bCs w:val="false"/>
          <w:i w:val="false"/>
          <w:iCs w:val="false"/>
        </w:rPr>
        <w:t xml:space="preserve">Un esfuerzo con horizonte se sostiene; uno sin horizonte se abandona.</w:t>
      </w:r>
    </w:p>
    <w:p>
      <w:pPr>
        <w:pStyle w:val="ListParagraph"/>
        <w:numPr>
          <w:ilvl w:val="0"/>
          <w:numId w:val="1"/>
        </w:numPr>
        <w:spacing w:after="80"/>
      </w:pPr>
      <w:r>
        <w:t xml:space="preserve">Diga qué van a lograr, en cuánto tiempo y qué van a poder hacer después.</w:t>
      </w:r>
    </w:p>
    <w:p>
      <w:pPr>
        <w:pStyle w:val="ListParagraph"/>
        <w:numPr>
          <w:ilvl w:val="0"/>
          <w:numId w:val="1"/>
        </w:numPr>
        <w:spacing w:after="80"/>
      </w:pPr>
      <w:r>
        <w:t xml:space="preserve">Anuncie la entrega desde el primer minuto, no al final de la clase.</w:t>
      </w:r>
    </w:p>
    <w:p>
      <w:pPr>
        <w:pStyle w:val="ListParagraph"/>
        <w:numPr>
          <w:ilvl w:val="0"/>
          <w:numId w:val="1"/>
        </w:numPr>
        <w:spacing w:after="80"/>
      </w:pPr>
      <w:r>
        <w:t xml:space="preserve">Divida lo largo en tramos con un resultado visible en cada uno.</w:t>
      </w:r>
    </w:p>
    <w:p>
      <w:pPr>
        <w:pStyle w:val="Heading2"/>
        <w:spacing w:after="100" w:before="240"/>
      </w:pPr>
      <w:r>
        <w:rPr>
          <w:color w:val="1F4E79"/>
        </w:rPr>
        <w:t xml:space="preserve">El error más común</w:t>
      </w:r>
    </w:p>
    <w:p>
      <w:pPr>
        <w:spacing w:after="120"/>
      </w:pPr>
      <w:r>
        <w:rPr>
          <w:b w:val="false"/>
          <w:bCs w:val="false"/>
          <w:i w:val="false"/>
          <w:iCs w:val="false"/>
        </w:rPr>
        <w:t xml:space="preserve">Casi todas las aperturas de clase que existen trabajan un solo filtro: el de la importancia. Y la importancia es justamente el que menos se cierra en los grupos que ya vienen dispuestos. El que se cierra en silencio, sin que nadie diga nada, suele ser el de la eficacia — porque nadie levanta la mano para decir “creo que no soy capaz”.</w:t>
      </w:r>
    </w:p>
    <w:p>
      <w:pPr>
        <w:pStyle w:val="Heading2"/>
        <w:spacing w:after="100" w:before="240"/>
      </w:pPr>
      <w:r>
        <w:rPr>
          <w:color w:val="1F4E79"/>
        </w:rPr>
        <w:t xml:space="preserve">Marque tres</w:t>
      </w:r>
    </w:p>
    <w:p>
      <w:pPr>
        <w:spacing w:after="120"/>
      </w:pPr>
      <w:r>
        <w:rPr>
          <w:b w:val="false"/>
          <w:bCs w:val="false"/>
          <w:i w:val="false"/>
          <w:iCs w:val="false"/>
        </w:rPr>
        <w:t xml:space="preserve">De los doce movimientos de arriba, marque los tres que le parezcan más aplicables a su asignatura. Son con los que va a trabajar en la clase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200"/>
            <w:shd w:fill="DCE6F1" w:val="clear"/>
            <w:tcMar>
              <w:top w:type="dxa" w:w="80"/>
              <w:left w:type="dxa" w:w="120"/>
              <w:bottom w:type="dxa" w:w="80"/>
              <w:right w:type="dxa" w:w="120"/>
            </w:tcMar>
          </w:tcPr>
          <w:p>
            <w:r>
              <w:rPr>
                <w:b/>
                <w:bCs/>
                <w:sz w:val="19"/>
                <w:szCs w:val="19"/>
              </w:rPr>
              <w:t xml:space="preserve">Movimiento que voy a usar</w:t>
            </w:r>
          </w:p>
        </w:tc>
        <w:tc>
          <w:tcPr>
            <w:tcW w:type="dxa" w:w="4000"/>
            <w:shd w:fill="DCE6F1" w:val="clear"/>
            <w:tcMar>
              <w:top w:type="dxa" w:w="80"/>
              <w:left w:type="dxa" w:w="120"/>
              <w:bottom w:type="dxa" w:w="80"/>
              <w:right w:type="dxa" w:w="120"/>
            </w:tcMar>
          </w:tcPr>
          <w:p>
            <w:r>
              <w:rPr>
                <w:b/>
                <w:bCs/>
                <w:sz w:val="19"/>
                <w:szCs w:val="19"/>
              </w:rPr>
              <w:t xml:space="preserve">En qué clase mía</w:t>
            </w:r>
          </w:p>
        </w:tc>
      </w:tr>
      <w:tr>
        <w:tc>
          <w:tcPr>
            <w:tcW w:type="dxa" w:w="5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5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5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2 · Los cuatro movimientos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2026-08-04T15:38:40.040Z</dcterms:created>
  <dcterms:modified xsi:type="dcterms:W3CDTF">2026-08-04T15:38:40.041Z</dcterms:modified>
</cp:coreProperties>
</file>

<file path=docProps/custom.xml><?xml version="1.0" encoding="utf-8"?>
<Properties xmlns="http://schemas.openxmlformats.org/officeDocument/2006/custom-properties" xmlns:vt="http://schemas.openxmlformats.org/officeDocument/2006/docPropsVTypes"/>
</file>