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La Taxonomía de Marzano y Kendall: diseñar y evaluar por niveles de control consciente</w:t>
      </w:r>
    </w:p>
    <w:p>
      <w:pPr>
        <w:pStyle w:val="Title"/>
        <w:spacing w:after="120"/>
      </w:pPr>
      <w:r>
        <w:rPr>
          <w:color w:val="1F4E79"/>
        </w:rPr>
        <w:t xml:space="preserve">Tres aperturas para arreglar</w:t>
      </w:r>
    </w:p>
    <w:p>
      <w:pPr>
        <w:spacing w:after="240"/>
      </w:pPr>
      <w:r>
        <w:rPr>
          <w:b/>
          <w:bCs/>
          <w:sz w:val="26"/>
          <w:szCs w:val="26"/>
        </w:rPr>
        <w:t xml:space="preserve">Clase 5 · Ensayo general antes de rediseñar la suya</w:t>
      </w:r>
    </w:p>
    <w:p>
      <w:pPr>
        <w:spacing w:after="120"/>
      </w:pPr>
      <w:r>
        <w:rPr>
          <w:b w:val="false"/>
          <w:bCs w:val="false"/>
          <w:i w:val="false"/>
          <w:iCs w:val="false"/>
        </w:rPr>
        <w:t xml:space="preserve">Tres aperturas de clase reales, de tres asignaturas distintas. Cada una tiene un problema diferente.</w:t>
      </w:r>
    </w:p>
    <w:p>
      <w:pPr>
        <w:pStyle w:val="Heading2"/>
        <w:spacing w:after="100" w:before="240"/>
      </w:pPr>
      <w:r>
        <w:rPr>
          <w:color w:val="1F4E79"/>
        </w:rPr>
        <w:t xml:space="preserve">Qué hacer</w:t>
      </w:r>
    </w:p>
    <w:p>
      <w:pPr>
        <w:spacing w:after="80"/>
        <w:ind w:left="360" w:hanging="260"/>
      </w:pPr>
      <w:r>
        <w:rPr>
          <w:b/>
          <w:bCs/>
        </w:rPr>
        <w:t xml:space="preserve">1. </w:t>
      </w:r>
      <w:r>
        <w:t xml:space="preserve">Para cada apertura, marque qué filtros toca y cuáles deja cerrados.</w:t>
      </w:r>
    </w:p>
    <w:p>
      <w:pPr>
        <w:spacing w:after="80"/>
        <w:ind w:left="360" w:hanging="260"/>
      </w:pPr>
      <w:r>
        <w:rPr>
          <w:b/>
          <w:bCs/>
        </w:rPr>
        <w:t xml:space="preserve">2. </w:t>
      </w:r>
      <w:r>
        <w:t xml:space="preserve">Escriba UNA SOLA frase que agregaría para abrir el filtro que falta. Una frase, no un párrafo: la restricción es a propósito.</w:t>
      </w:r>
    </w:p>
    <w:p>
      <w:pPr>
        <w:spacing w:after="80"/>
        <w:ind w:left="360" w:hanging="260"/>
      </w:pPr>
      <w:r>
        <w:rPr>
          <w:b/>
          <w:bCs/>
        </w:rPr>
        <w:t xml:space="preserve">3. </w:t>
      </w:r>
      <w:r>
        <w:t xml:space="preserve">Solo entonces pase a la página siguiente, donde está el análisis comentado.</w:t>
      </w:r>
    </w:p>
    <w:p>
      <w:pPr>
        <w:pBdr>
          <w:left w:val="single" w:color="C99A1E" w:sz="18"/>
        </w:pBdr>
        <w:spacing w:after="200" w:before="120"/>
        <w:ind w:left="200"/>
      </w:pPr>
      <w:r>
        <w:rPr>
          <w:i/>
          <w:iCs/>
        </w:rPr>
        <w:t xml:space="preserve">No se entrega ni se califica. Es para llegar a la clase 6 con la mano suelta.</w:t>
      </w:r>
    </w:p>
    <w:p>
      <w:pPr>
        <w:pStyle w:val="Heading3"/>
        <w:spacing w:after="80" w:before="180"/>
      </w:pPr>
      <w:r>
        <w:rPr>
          <w:b/>
          <w:bCs/>
          <w:color w:val="595959"/>
        </w:rPr>
        <w:t xml:space="preserve">Apertura 1 — Lengua · 9.º grado</w:t>
      </w:r>
    </w:p>
    <w:p>
      <w:pPr>
        <w:spacing w:after="120"/>
      </w:pPr>
      <w:r>
        <w:rPr>
          <w:b w:val="false"/>
          <w:bCs w:val="false"/>
          <w:i/>
          <w:iCs/>
        </w:rPr>
        <w:t xml:space="preserve">“Buenos días. Hoy empezamos literatura del Siglo de Oro. Es un periodo fundamental de nuestra lengua y van a ver que es muy rico. Abran el libro en la página 84 y vamos leyendo por turnos.”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CE6F1" w:val="clear"/>
            <w:tcMar>
              <w:top w:type="dxa" w:w="80"/>
              <w:left w:type="dxa" w:w="120"/>
              <w:bottom w:type="dxa" w:w="80"/>
              <w:right w:type="dxa" w:w="120"/>
            </w:tcMar>
          </w:tcPr>
          <w:p>
            <w:r>
              <w:rPr>
                <w:b/>
                <w:bCs/>
                <w:sz w:val="19"/>
                <w:szCs w:val="19"/>
              </w:rPr>
              <w:t xml:space="preserve">Filtro</w:t>
            </w:r>
          </w:p>
        </w:tc>
        <w:tc>
          <w:tcPr>
            <w:tcW w:type="dxa" w:w="1800"/>
            <w:shd w:fill="DCE6F1" w:val="clear"/>
            <w:tcMar>
              <w:top w:type="dxa" w:w="80"/>
              <w:left w:type="dxa" w:w="120"/>
              <w:bottom w:type="dxa" w:w="80"/>
              <w:right w:type="dxa" w:w="120"/>
            </w:tcMar>
          </w:tcPr>
          <w:p>
            <w:r>
              <w:rPr>
                <w:b/>
                <w:bCs/>
                <w:sz w:val="19"/>
                <w:szCs w:val="19"/>
              </w:rPr>
              <w:t xml:space="preserve">¿Lo toca?</w:t>
            </w:r>
          </w:p>
        </w:tc>
        <w:tc>
          <w:tcPr>
            <w:tcW w:type="dxa" w:w="5200"/>
            <w:shd w:fill="DCE6F1" w:val="clear"/>
            <w:tcMar>
              <w:top w:type="dxa" w:w="80"/>
              <w:left w:type="dxa" w:w="120"/>
              <w:bottom w:type="dxa" w:w="80"/>
              <w:right w:type="dxa" w:w="120"/>
            </w:tcMar>
          </w:tcPr>
          <w:p>
            <w:r>
              <w:rPr>
                <w:b/>
                <w:bCs/>
                <w:sz w:val="19"/>
                <w:szCs w:val="19"/>
              </w:rPr>
              <w:t xml:space="preserve">Mi frase para abrirlo</w:t>
            </w:r>
          </w:p>
        </w:tc>
      </w:tr>
      <w:tr>
        <w:tc>
          <w:tcPr>
            <w:tcW w:type="dxa" w:w="2200"/>
            <w:tcMar>
              <w:top w:type="dxa" w:w="80"/>
              <w:left w:type="dxa" w:w="120"/>
              <w:bottom w:type="dxa" w:w="80"/>
              <w:right w:type="dxa" w:w="120"/>
            </w:tcMar>
          </w:tcPr>
          <w:p>
            <w:r>
              <w:rPr>
                <w:b w:val="false"/>
                <w:bCs w:val="false"/>
                <w:sz w:val="19"/>
                <w:szCs w:val="19"/>
              </w:rPr>
              <w:t xml:space="preserve">Importancia</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Eficacia</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Emoción</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Motivación</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bl>
    <w:p>
      <w:pPr>
        <w:pStyle w:val="Heading3"/>
        <w:spacing w:after="80" w:before="180"/>
      </w:pPr>
      <w:r>
        <w:rPr>
          <w:b/>
          <w:bCs/>
          <w:color w:val="595959"/>
        </w:rPr>
        <w:t xml:space="preserve">Apertura 2 — Matemáticas · 7.º grado</w:t>
      </w:r>
    </w:p>
    <w:p>
      <w:pPr>
        <w:spacing w:after="120"/>
      </w:pPr>
      <w:r>
        <w:rPr>
          <w:b w:val="false"/>
          <w:bCs w:val="false"/>
          <w:i/>
          <w:iCs/>
        </w:rPr>
        <w:t xml:space="preserve">“Ya saben que este tema es difícil, así que necesito toda su atención. Los que vienen flojos de fracciones van a tener problemas. Vamos a ver proporcionalidad.”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CE6F1" w:val="clear"/>
            <w:tcMar>
              <w:top w:type="dxa" w:w="80"/>
              <w:left w:type="dxa" w:w="120"/>
              <w:bottom w:type="dxa" w:w="80"/>
              <w:right w:type="dxa" w:w="120"/>
            </w:tcMar>
          </w:tcPr>
          <w:p>
            <w:r>
              <w:rPr>
                <w:b/>
                <w:bCs/>
                <w:sz w:val="19"/>
                <w:szCs w:val="19"/>
              </w:rPr>
              <w:t xml:space="preserve">Filtro</w:t>
            </w:r>
          </w:p>
        </w:tc>
        <w:tc>
          <w:tcPr>
            <w:tcW w:type="dxa" w:w="1800"/>
            <w:shd w:fill="DCE6F1" w:val="clear"/>
            <w:tcMar>
              <w:top w:type="dxa" w:w="80"/>
              <w:left w:type="dxa" w:w="120"/>
              <w:bottom w:type="dxa" w:w="80"/>
              <w:right w:type="dxa" w:w="120"/>
            </w:tcMar>
          </w:tcPr>
          <w:p>
            <w:r>
              <w:rPr>
                <w:b/>
                <w:bCs/>
                <w:sz w:val="19"/>
                <w:szCs w:val="19"/>
              </w:rPr>
              <w:t xml:space="preserve">¿Lo toca?</w:t>
            </w:r>
          </w:p>
        </w:tc>
        <w:tc>
          <w:tcPr>
            <w:tcW w:type="dxa" w:w="5200"/>
            <w:shd w:fill="DCE6F1" w:val="clear"/>
            <w:tcMar>
              <w:top w:type="dxa" w:w="80"/>
              <w:left w:type="dxa" w:w="120"/>
              <w:bottom w:type="dxa" w:w="80"/>
              <w:right w:type="dxa" w:w="120"/>
            </w:tcMar>
          </w:tcPr>
          <w:p>
            <w:r>
              <w:rPr>
                <w:b/>
                <w:bCs/>
                <w:sz w:val="19"/>
                <w:szCs w:val="19"/>
              </w:rPr>
              <w:t xml:space="preserve">Mi frase para abrirlo</w:t>
            </w:r>
          </w:p>
        </w:tc>
      </w:tr>
      <w:tr>
        <w:tc>
          <w:tcPr>
            <w:tcW w:type="dxa" w:w="2200"/>
            <w:tcMar>
              <w:top w:type="dxa" w:w="80"/>
              <w:left w:type="dxa" w:w="120"/>
              <w:bottom w:type="dxa" w:w="80"/>
              <w:right w:type="dxa" w:w="120"/>
            </w:tcMar>
          </w:tcPr>
          <w:p>
            <w:r>
              <w:rPr>
                <w:b w:val="false"/>
                <w:bCs w:val="false"/>
                <w:sz w:val="19"/>
                <w:szCs w:val="19"/>
              </w:rPr>
              <w:t xml:space="preserve">Importancia</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Eficacia</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Emoción</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Motivación</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bl>
    <w:p>
      <w:pPr>
        <w:pStyle w:val="Heading3"/>
        <w:spacing w:after="80" w:before="180"/>
      </w:pPr>
      <w:r>
        <w:rPr>
          <w:b/>
          <w:bCs/>
          <w:color w:val="595959"/>
        </w:rPr>
        <w:t xml:space="preserve">Apertura 3 — Ciencias Sociales · 10.º grado</w:t>
      </w:r>
    </w:p>
    <w:p>
      <w:pPr>
        <w:spacing w:after="120"/>
      </w:pPr>
      <w:r>
        <w:rPr>
          <w:b w:val="false"/>
          <w:bCs w:val="false"/>
          <w:i/>
          <w:iCs/>
        </w:rPr>
        <w:t xml:space="preserve">“Hoy vemos las causas de la migración interna en Colombia. Es un tema muy importante para entender el país. Al final de la unidad harán un ensayo argumentativo de tres páginas.”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CE6F1" w:val="clear"/>
            <w:tcMar>
              <w:top w:type="dxa" w:w="80"/>
              <w:left w:type="dxa" w:w="120"/>
              <w:bottom w:type="dxa" w:w="80"/>
              <w:right w:type="dxa" w:w="120"/>
            </w:tcMar>
          </w:tcPr>
          <w:p>
            <w:r>
              <w:rPr>
                <w:b/>
                <w:bCs/>
                <w:sz w:val="19"/>
                <w:szCs w:val="19"/>
              </w:rPr>
              <w:t xml:space="preserve">Filtro</w:t>
            </w:r>
          </w:p>
        </w:tc>
        <w:tc>
          <w:tcPr>
            <w:tcW w:type="dxa" w:w="1800"/>
            <w:shd w:fill="DCE6F1" w:val="clear"/>
            <w:tcMar>
              <w:top w:type="dxa" w:w="80"/>
              <w:left w:type="dxa" w:w="120"/>
              <w:bottom w:type="dxa" w:w="80"/>
              <w:right w:type="dxa" w:w="120"/>
            </w:tcMar>
          </w:tcPr>
          <w:p>
            <w:r>
              <w:rPr>
                <w:b/>
                <w:bCs/>
                <w:sz w:val="19"/>
                <w:szCs w:val="19"/>
              </w:rPr>
              <w:t xml:space="preserve">¿Lo toca?</w:t>
            </w:r>
          </w:p>
        </w:tc>
        <w:tc>
          <w:tcPr>
            <w:tcW w:type="dxa" w:w="5200"/>
            <w:shd w:fill="DCE6F1" w:val="clear"/>
            <w:tcMar>
              <w:top w:type="dxa" w:w="80"/>
              <w:left w:type="dxa" w:w="120"/>
              <w:bottom w:type="dxa" w:w="80"/>
              <w:right w:type="dxa" w:w="120"/>
            </w:tcMar>
          </w:tcPr>
          <w:p>
            <w:r>
              <w:rPr>
                <w:b/>
                <w:bCs/>
                <w:sz w:val="19"/>
                <w:szCs w:val="19"/>
              </w:rPr>
              <w:t xml:space="preserve">Mi frase para abrirlo</w:t>
            </w:r>
          </w:p>
        </w:tc>
      </w:tr>
      <w:tr>
        <w:tc>
          <w:tcPr>
            <w:tcW w:type="dxa" w:w="2200"/>
            <w:tcMar>
              <w:top w:type="dxa" w:w="80"/>
              <w:left w:type="dxa" w:w="120"/>
              <w:bottom w:type="dxa" w:w="80"/>
              <w:right w:type="dxa" w:w="120"/>
            </w:tcMar>
          </w:tcPr>
          <w:p>
            <w:r>
              <w:rPr>
                <w:b w:val="false"/>
                <w:bCs w:val="false"/>
                <w:sz w:val="19"/>
                <w:szCs w:val="19"/>
              </w:rPr>
              <w:t xml:space="preserve">Importancia</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Eficacia</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Emoción</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Motivación</w:t>
            </w:r>
          </w:p>
        </w:tc>
        <w:tc>
          <w:tcPr>
            <w:tcW w:type="dxa" w:w="1800"/>
            <w:tcMar>
              <w:top w:type="dxa" w:w="80"/>
              <w:left w:type="dxa" w:w="120"/>
              <w:bottom w:type="dxa" w:w="80"/>
              <w:right w:type="dxa" w:w="120"/>
            </w:tcMar>
          </w:tcPr>
          <w:p>
            <w:r>
              <w:rPr>
                <w:b w:val="false"/>
                <w:bCs w:val="false"/>
                <w:sz w:val="19"/>
                <w:szCs w:val="19"/>
              </w:rPr>
              <w:t xml:space="preserve"/>
            </w:r>
          </w:p>
        </w:tc>
        <w:tc>
          <w:tcPr>
            <w:tcW w:type="dxa" w:w="5200"/>
            <w:tcMar>
              <w:top w:type="dxa" w:w="80"/>
              <w:left w:type="dxa" w:w="120"/>
              <w:bottom w:type="dxa" w:w="80"/>
              <w:right w:type="dxa" w:w="120"/>
            </w:tcMar>
          </w:tcPr>
          <w:p>
            <w:r>
              <w:rPr>
                <w:b w:val="false"/>
                <w:bCs w:val="false"/>
                <w:sz w:val="19"/>
                <w:szCs w:val="19"/>
              </w:rPr>
              <w:t xml:space="preserve"/>
            </w:r>
          </w:p>
        </w:tc>
      </w:tr>
    </w:tbl>
    <w:p>
      <w:pPr>
        <w:pageBreakBefore/>
      </w:pPr>
    </w:p>
    <w:p>
      <w:pPr>
        <w:pStyle w:val="Heading2"/>
        <w:spacing w:after="100" w:before="240"/>
      </w:pPr>
      <w:r>
        <w:rPr>
          <w:color w:val="1F4E79"/>
        </w:rPr>
        <w:t xml:space="preserve">El análisis comentado</w:t>
      </w:r>
    </w:p>
    <w:p>
      <w:pPr>
        <w:spacing w:after="120"/>
      </w:pPr>
      <w:r>
        <w:rPr>
          <w:b w:val="false"/>
          <w:bCs w:val="false"/>
          <w:i w:val="false"/>
          <w:iCs w:val="false"/>
        </w:rPr>
        <w:t xml:space="preserve">Compárelo con el suyo. Si difiere, lo interesante es el porqué.</w:t>
      </w:r>
    </w:p>
    <w:p>
      <w:pPr>
        <w:pStyle w:val="Heading3"/>
        <w:spacing w:after="80" w:before="180"/>
      </w:pPr>
      <w:r>
        <w:rPr>
          <w:b/>
          <w:bCs/>
          <w:color w:val="595959"/>
        </w:rPr>
        <w:t xml:space="preserve">Apertura 1 — Lengua · 9.º grado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CE6F1" w:val="clear"/>
            <w:tcMar>
              <w:top w:type="dxa" w:w="80"/>
              <w:left w:type="dxa" w:w="120"/>
              <w:bottom w:type="dxa" w:w="80"/>
              <w:right w:type="dxa" w:w="120"/>
            </w:tcMar>
          </w:tcPr>
          <w:p>
            <w:r>
              <w:rPr>
                <w:b/>
                <w:bCs/>
                <w:sz w:val="19"/>
                <w:szCs w:val="19"/>
              </w:rPr>
              <w:t xml:space="preserve">Qué toca</w:t>
            </w:r>
          </w:p>
        </w:tc>
        <w:tc>
          <w:tcPr>
            <w:tcW w:type="dxa" w:w="6800"/>
            <w:shd w:fill="DCE6F1" w:val="clear"/>
            <w:tcMar>
              <w:top w:type="dxa" w:w="80"/>
              <w:left w:type="dxa" w:w="120"/>
              <w:bottom w:type="dxa" w:w="80"/>
              <w:right w:type="dxa" w:w="120"/>
            </w:tcMar>
          </w:tcPr>
          <w:p>
            <w:r>
              <w:rPr>
                <w:b/>
                <w:bCs/>
                <w:sz w:val="19"/>
                <w:szCs w:val="19"/>
              </w:rPr>
              <w:t xml:space="preserve">Importancia, y de forma prestada (“es fundamental” es un valor de la profesora, no del estudiante).</w:t>
            </w:r>
          </w:p>
        </w:tc>
      </w:tr>
      <w:tr>
        <w:tc>
          <w:tcPr>
            <w:tcW w:type="dxa" w:w="2400"/>
            <w:tcMar>
              <w:top w:type="dxa" w:w="80"/>
              <w:left w:type="dxa" w:w="120"/>
              <w:bottom w:type="dxa" w:w="80"/>
              <w:right w:type="dxa" w:w="120"/>
            </w:tcMar>
          </w:tcPr>
          <w:p>
            <w:r>
              <w:rPr>
                <w:b w:val="false"/>
                <w:bCs w:val="false"/>
                <w:sz w:val="19"/>
                <w:szCs w:val="19"/>
              </w:rPr>
              <w:t xml:space="preserve">Qué falta</w:t>
            </w:r>
          </w:p>
        </w:tc>
        <w:tc>
          <w:tcPr>
            <w:tcW w:type="dxa" w:w="6800"/>
            <w:tcMar>
              <w:top w:type="dxa" w:w="80"/>
              <w:left w:type="dxa" w:w="120"/>
              <w:bottom w:type="dxa" w:w="80"/>
              <w:right w:type="dxa" w:w="120"/>
            </w:tcMar>
          </w:tcPr>
          <w:p>
            <w:r>
              <w:rPr>
                <w:b w:val="false"/>
                <w:bCs w:val="false"/>
                <w:sz w:val="19"/>
                <w:szCs w:val="19"/>
              </w:rPr>
              <w:t xml:space="preserve">Eficacia, emoción y motivación. Un texto del Siglo de Oro en la página 84 asusta antes de empezar: nadie dijo qué se necesita para entenderlo ni qué se va a lograr.</w:t>
            </w:r>
          </w:p>
        </w:tc>
      </w:tr>
      <w:tr>
        <w:tc>
          <w:tcPr>
            <w:tcW w:type="dxa" w:w="2400"/>
            <w:tcMar>
              <w:top w:type="dxa" w:w="80"/>
              <w:left w:type="dxa" w:w="120"/>
              <w:bottom w:type="dxa" w:w="80"/>
              <w:right w:type="dxa" w:w="120"/>
            </w:tcMar>
          </w:tcPr>
          <w:p>
            <w:r>
              <w:rPr>
                <w:b w:val="false"/>
                <w:bCs w:val="false"/>
                <w:sz w:val="19"/>
                <w:szCs w:val="19"/>
              </w:rPr>
              <w:t xml:space="preserve">Una frase que lo arregla</w:t>
            </w:r>
          </w:p>
        </w:tc>
        <w:tc>
          <w:tcPr>
            <w:tcW w:type="dxa" w:w="6800"/>
            <w:tcMar>
              <w:top w:type="dxa" w:w="80"/>
              <w:left w:type="dxa" w:w="120"/>
              <w:bottom w:type="dxa" w:w="80"/>
              <w:right w:type="dxa" w:w="120"/>
            </w:tcMar>
          </w:tcPr>
          <w:p>
            <w:r>
              <w:rPr>
                <w:b w:val="false"/>
                <w:bCs w:val="false"/>
                <w:sz w:val="19"/>
                <w:szCs w:val="19"/>
              </w:rPr>
              <w:t xml:space="preserve">“Antes de abrir el libro: ¿alguna vez le han dicho algo bonito con palabras que no entendieron del todo? En veinte minutos van a poder leer una de esas y explicarla — y lo único que hace falta es lo que ya saben de metáforas.”</w:t>
            </w:r>
          </w:p>
        </w:tc>
      </w:tr>
    </w:tbl>
    <w:p>
      <w:pPr>
        <w:pStyle w:val="Heading3"/>
        <w:spacing w:after="80" w:before="180"/>
      </w:pPr>
      <w:r>
        <w:rPr>
          <w:b/>
          <w:bCs/>
          <w:color w:val="595959"/>
        </w:rPr>
        <w:t xml:space="preserve">Apertura 2 — Matemáticas · 7.º grado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CE6F1" w:val="clear"/>
            <w:tcMar>
              <w:top w:type="dxa" w:w="80"/>
              <w:left w:type="dxa" w:w="120"/>
              <w:bottom w:type="dxa" w:w="80"/>
              <w:right w:type="dxa" w:w="120"/>
            </w:tcMar>
          </w:tcPr>
          <w:p>
            <w:r>
              <w:rPr>
                <w:b/>
                <w:bCs/>
                <w:sz w:val="19"/>
                <w:szCs w:val="19"/>
              </w:rPr>
              <w:t xml:space="preserve">Qué toca</w:t>
            </w:r>
          </w:p>
        </w:tc>
        <w:tc>
          <w:tcPr>
            <w:tcW w:type="dxa" w:w="6800"/>
            <w:shd w:fill="DCE6F1" w:val="clear"/>
            <w:tcMar>
              <w:top w:type="dxa" w:w="80"/>
              <w:left w:type="dxa" w:w="120"/>
              <w:bottom w:type="dxa" w:w="80"/>
              <w:right w:type="dxa" w:w="120"/>
            </w:tcMar>
          </w:tcPr>
          <w:p>
            <w:r>
              <w:rPr>
                <w:b/>
                <w:bCs/>
                <w:sz w:val="19"/>
                <w:szCs w:val="19"/>
              </w:rPr>
              <w:t xml:space="preserve">Ninguno. Y cierra dos activamente.</w:t>
            </w:r>
          </w:p>
        </w:tc>
      </w:tr>
      <w:tr>
        <w:tc>
          <w:tcPr>
            <w:tcW w:type="dxa" w:w="2400"/>
            <w:tcMar>
              <w:top w:type="dxa" w:w="80"/>
              <w:left w:type="dxa" w:w="120"/>
              <w:bottom w:type="dxa" w:w="80"/>
              <w:right w:type="dxa" w:w="120"/>
            </w:tcMar>
          </w:tcPr>
          <w:p>
            <w:r>
              <w:rPr>
                <w:b w:val="false"/>
                <w:bCs w:val="false"/>
                <w:sz w:val="19"/>
                <w:szCs w:val="19"/>
              </w:rPr>
              <w:t xml:space="preserve">Qué falta</w:t>
            </w:r>
          </w:p>
        </w:tc>
        <w:tc>
          <w:tcPr>
            <w:tcW w:type="dxa" w:w="6800"/>
            <w:tcMar>
              <w:top w:type="dxa" w:w="80"/>
              <w:left w:type="dxa" w:w="120"/>
              <w:bottom w:type="dxa" w:w="80"/>
              <w:right w:type="dxa" w:w="120"/>
            </w:tcMar>
          </w:tcPr>
          <w:p>
            <w:r>
              <w:rPr>
                <w:b w:val="false"/>
                <w:bCs w:val="false"/>
                <w:sz w:val="19"/>
                <w:szCs w:val="19"/>
              </w:rPr>
              <w:t xml:space="preserve">Todos. La primera frase cierra la eficacia (“es difícil”) y la segunda dispara la emoción equivocada (“los que vienen flojos van a tener problemas”). Es una apertura que expulsa.</w:t>
            </w:r>
          </w:p>
        </w:tc>
      </w:tr>
      <w:tr>
        <w:tc>
          <w:tcPr>
            <w:tcW w:type="dxa" w:w="2400"/>
            <w:tcMar>
              <w:top w:type="dxa" w:w="80"/>
              <w:left w:type="dxa" w:w="120"/>
              <w:bottom w:type="dxa" w:w="80"/>
              <w:right w:type="dxa" w:w="120"/>
            </w:tcMar>
          </w:tcPr>
          <w:p>
            <w:r>
              <w:rPr>
                <w:b w:val="false"/>
                <w:bCs w:val="false"/>
                <w:sz w:val="19"/>
                <w:szCs w:val="19"/>
              </w:rPr>
              <w:t xml:space="preserve">Una frase que lo arregla</w:t>
            </w:r>
          </w:p>
        </w:tc>
        <w:tc>
          <w:tcPr>
            <w:tcW w:type="dxa" w:w="6800"/>
            <w:tcMar>
              <w:top w:type="dxa" w:w="80"/>
              <w:left w:type="dxa" w:w="120"/>
              <w:bottom w:type="dxa" w:w="80"/>
              <w:right w:type="dxa" w:w="120"/>
            </w:tcMar>
          </w:tcPr>
          <w:p>
            <w:r>
              <w:rPr>
                <w:b w:val="false"/>
                <w:bCs w:val="false"/>
                <w:sz w:val="19"/>
                <w:szCs w:val="19"/>
              </w:rPr>
              <w:t xml:space="preserve">“Lo único que se necesita hoy es multiplicar y dividir, que ya lo hacen. Si en algún punto se pierde, esa es la señal para levantar la mano, no para quedarse callado.”</w:t>
            </w:r>
          </w:p>
        </w:tc>
      </w:tr>
    </w:tbl>
    <w:p>
      <w:pPr>
        <w:pStyle w:val="Heading3"/>
        <w:spacing w:after="80" w:before="180"/>
      </w:pPr>
      <w:r>
        <w:rPr>
          <w:b/>
          <w:bCs/>
          <w:color w:val="595959"/>
        </w:rPr>
        <w:t xml:space="preserve">Apertura 3 — Ciencias Sociales · 10.º grado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CE6F1" w:val="clear"/>
            <w:tcMar>
              <w:top w:type="dxa" w:w="80"/>
              <w:left w:type="dxa" w:w="120"/>
              <w:bottom w:type="dxa" w:w="80"/>
              <w:right w:type="dxa" w:w="120"/>
            </w:tcMar>
          </w:tcPr>
          <w:p>
            <w:r>
              <w:rPr>
                <w:b/>
                <w:bCs/>
                <w:sz w:val="19"/>
                <w:szCs w:val="19"/>
              </w:rPr>
              <w:t xml:space="preserve">Qué toca</w:t>
            </w:r>
          </w:p>
        </w:tc>
        <w:tc>
          <w:tcPr>
            <w:tcW w:type="dxa" w:w="6800"/>
            <w:shd w:fill="DCE6F1" w:val="clear"/>
            <w:tcMar>
              <w:top w:type="dxa" w:w="80"/>
              <w:left w:type="dxa" w:w="120"/>
              <w:bottom w:type="dxa" w:w="80"/>
              <w:right w:type="dxa" w:w="120"/>
            </w:tcMar>
          </w:tcPr>
          <w:p>
            <w:r>
              <w:rPr>
                <w:b/>
                <w:bCs/>
                <w:sz w:val="19"/>
                <w:szCs w:val="19"/>
              </w:rPr>
              <w:t xml:space="preserve">Importancia y, a medias, motivación: anuncia la entrega, que es más de lo que hacen la mayoría.</w:t>
            </w:r>
          </w:p>
        </w:tc>
      </w:tr>
      <w:tr>
        <w:tc>
          <w:tcPr>
            <w:tcW w:type="dxa" w:w="2400"/>
            <w:tcMar>
              <w:top w:type="dxa" w:w="80"/>
              <w:left w:type="dxa" w:w="120"/>
              <w:bottom w:type="dxa" w:w="80"/>
              <w:right w:type="dxa" w:w="120"/>
            </w:tcMar>
          </w:tcPr>
          <w:p>
            <w:r>
              <w:rPr>
                <w:b w:val="false"/>
                <w:bCs w:val="false"/>
                <w:sz w:val="19"/>
                <w:szCs w:val="19"/>
              </w:rPr>
              <w:t xml:space="preserve">Qué falta</w:t>
            </w:r>
          </w:p>
        </w:tc>
        <w:tc>
          <w:tcPr>
            <w:tcW w:type="dxa" w:w="6800"/>
            <w:tcMar>
              <w:top w:type="dxa" w:w="80"/>
              <w:left w:type="dxa" w:w="120"/>
              <w:bottom w:type="dxa" w:w="80"/>
              <w:right w:type="dxa" w:w="120"/>
            </w:tcMar>
          </w:tcPr>
          <w:p>
            <w:r>
              <w:rPr>
                <w:b w:val="false"/>
                <w:bCs w:val="false"/>
                <w:sz w:val="19"/>
                <w:szCs w:val="19"/>
              </w:rPr>
              <w:t xml:space="preserve">Eficacia y emoción. “Un ensayo argumentativo de tres páginas” es exactamente la frase que cierra la eficacia de quien nunca ha escrito uno.</w:t>
            </w:r>
          </w:p>
        </w:tc>
      </w:tr>
      <w:tr>
        <w:tc>
          <w:tcPr>
            <w:tcW w:type="dxa" w:w="2400"/>
            <w:tcMar>
              <w:top w:type="dxa" w:w="80"/>
              <w:left w:type="dxa" w:w="120"/>
              <w:bottom w:type="dxa" w:w="80"/>
              <w:right w:type="dxa" w:w="120"/>
            </w:tcMar>
          </w:tcPr>
          <w:p>
            <w:r>
              <w:rPr>
                <w:b w:val="false"/>
                <w:bCs w:val="false"/>
                <w:sz w:val="19"/>
                <w:szCs w:val="19"/>
              </w:rPr>
              <w:t xml:space="preserve">Una frase que lo arregla</w:t>
            </w:r>
          </w:p>
        </w:tc>
        <w:tc>
          <w:tcPr>
            <w:tcW w:type="dxa" w:w="6800"/>
            <w:tcMar>
              <w:top w:type="dxa" w:w="80"/>
              <w:left w:type="dxa" w:w="120"/>
              <w:bottom w:type="dxa" w:w="80"/>
              <w:right w:type="dxa" w:w="120"/>
            </w:tcMar>
          </w:tcPr>
          <w:p>
            <w:r>
              <w:rPr>
                <w:b w:val="false"/>
                <w:bCs w:val="false"/>
                <w:sz w:val="19"/>
                <w:szCs w:val="19"/>
              </w:rPr>
              <w:t xml:space="preserve">“Y no se asusten con el ensayo: lo vamos a armar por partes, y la primera parte la hacemos hoy en diez minutos.”</w:t>
            </w:r>
          </w:p>
        </w:tc>
      </w:tr>
    </w:tbl>
    <w:p>
      <w:pPr>
        <w:pStyle w:val="Heading2"/>
        <w:spacing w:after="100" w:before="240"/>
      </w:pPr>
      <w:r>
        <w:rPr>
          <w:color w:val="1F4E79"/>
        </w:rPr>
        <w:t xml:space="preserve">Lo que muestran las tres juntas</w:t>
      </w:r>
    </w:p>
    <w:p>
      <w:pPr>
        <w:spacing w:after="120"/>
      </w:pPr>
      <w:r>
        <w:rPr>
          <w:b w:val="false"/>
          <w:bCs w:val="false"/>
          <w:i w:val="false"/>
          <w:iCs w:val="false"/>
        </w:rPr>
        <w:t xml:space="preserve">La apertura 2 es la más instructiva y la más común: no es que le falten filtros, es que los cierra activamente. Advertir que un tema es difícil y señalar a quienes vienen flojos son dos movimientos bienintencionados —quieren que se preparen— y los dos expulsan.</w:t>
      </w:r>
    </w:p>
    <w:p>
      <w:pPr>
        <w:pBdr>
          <w:top w:val="single" w:color="BFBFBF" w:sz="6"/>
        </w:pBdr>
        <w:spacing w:before="320"/>
      </w:pPr>
      <w:r>
        <w:rPr>
          <w:i/>
          <w:iCs/>
          <w:color w:val="595959"/>
          <w:sz w:val="18"/>
          <w:szCs w:val="18"/>
        </w:rPr>
        <w:t xml:space="preserve">Material del curso “La Taxonomía de Marzano y Kendall: diseñar y evaluar por niveles de control consciente” · Módulo 2 · Tres aperturas para arreglar · Uso educativo.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2026-08-04T15:38:39.999Z</dcterms:created>
  <dcterms:modified xsi:type="dcterms:W3CDTF">2026-08-04T15:38:39.999Z</dcterms:modified>
</cp:coreProperties>
</file>

<file path=docProps/custom.xml><?xml version="1.0" encoding="utf-8"?>
<Properties xmlns="http://schemas.openxmlformats.org/officeDocument/2006/custom-properties" xmlns:vt="http://schemas.openxmlformats.org/officeDocument/2006/docPropsVTypes"/>
</file>