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Los cuatro movimientos</w:t>
      </w:r>
    </w:p>
    <w:p>
      <w:pPr>
        <w:spacing w:after="240"/>
      </w:pPr>
      <w:r>
        <w:rPr>
          <w:b/>
          <w:bCs/>
          <w:sz w:val="26"/>
          <w:szCs w:val="26"/>
        </w:rPr>
        <w:t xml:space="preserve">Unidad 2.3 · Qué abre cada cerradura</w:t>
      </w:r>
    </w:p>
    <w:p>
      <w:pPr>
        <w:spacing w:after="120"/>
      </w:pPr>
      <w:r>
        <w:rPr>
          <w:b w:val="false"/>
          <w:bCs w:val="false"/>
          <w:i w:val="false"/>
          <w:iCs w:val="false"/>
        </w:rPr>
        <w:t xml:space="preserve">No hay una técnica única. Hay cuatro, una por cerradura. Esta hoja es la herramienta con la que va a trabajar en la evaluación del módulo.</w:t>
      </w:r>
    </w:p>
    <w:p>
      <w:pPr>
        <w:pStyle w:val="Heading2"/>
        <w:spacing w:after="100" w:before="240"/>
      </w:pPr>
      <w:r>
        <w:rPr>
          <w:color w:val="1F4E79"/>
        </w:rPr>
        <w:t xml:space="preserve">1 · Para la importancia — conecte con algo que ya le importa</w:t>
      </w:r>
    </w:p>
    <w:p>
      <w:pPr>
        <w:spacing w:after="120"/>
      </w:pPr>
      <w:r>
        <w:rPr>
          <w:b w:val="false"/>
          <w:bCs w:val="false"/>
          <w:i w:val="false"/>
          <w:iCs w:val="false"/>
        </w:rPr>
        <w:t xml:space="preserve">No con lo que debería importarle. La diferencia entre “esto lo van a necesitar en la universidad” y “esto explica por qué le cobraron de más en el recibo” es la diferencia entre un valor prestado y uno propio.</w:t>
      </w:r>
    </w:p>
    <w:p>
      <w:pPr>
        <w:pStyle w:val="ListParagraph"/>
        <w:numPr>
          <w:ilvl w:val="0"/>
          <w:numId w:val="1"/>
        </w:numPr>
        <w:spacing w:after="80"/>
      </w:pPr>
      <w:r>
        <w:t xml:space="preserve">Empiece con una pregunta que el estudiante ya se ha hecho fuera de clase.</w:t>
      </w:r>
    </w:p>
    <w:p>
      <w:pPr>
        <w:pStyle w:val="ListParagraph"/>
        <w:numPr>
          <w:ilvl w:val="0"/>
          <w:numId w:val="1"/>
        </w:numPr>
        <w:spacing w:after="80"/>
      </w:pPr>
      <w:r>
        <w:t xml:space="preserve">Use un caso de su barrio, su casa o su celular antes que uno de un libro.</w:t>
      </w:r>
    </w:p>
    <w:p>
      <w:pPr>
        <w:pStyle w:val="ListParagraph"/>
        <w:numPr>
          <w:ilvl w:val="0"/>
          <w:numId w:val="1"/>
        </w:numPr>
        <w:spacing w:after="80"/>
      </w:pPr>
      <w:r>
        <w:t xml:space="preserve">Plantee un dilema donde su opinión importe, no un dato que haya que aceptar.</w:t>
      </w:r>
    </w:p>
    <w:p>
      <w:pPr>
        <w:pStyle w:val="Heading2"/>
        <w:spacing w:after="100" w:before="240"/>
      </w:pPr>
      <w:r>
        <w:rPr>
          <w:color w:val="1F4E79"/>
        </w:rPr>
        <w:t xml:space="preserve">2 · Para la eficacia — muestre que el primer paso está a su alcance</w:t>
      </w:r>
    </w:p>
    <w:p>
      <w:pPr>
        <w:spacing w:after="120"/>
      </w:pPr>
      <w:r>
        <w:rPr>
          <w:b w:val="false"/>
          <w:bCs w:val="false"/>
          <w:i w:val="false"/>
          <w:iCs w:val="false"/>
        </w:rPr>
        <w:t xml:space="preserve">La creencia de “no puedo” no se derrumba con un discurso; se derrumba con una experiencia pequeña de logro.</w:t>
      </w:r>
    </w:p>
    <w:p>
      <w:pPr>
        <w:pStyle w:val="ListParagraph"/>
        <w:numPr>
          <w:ilvl w:val="0"/>
          <w:numId w:val="1"/>
        </w:numPr>
        <w:spacing w:after="80"/>
      </w:pPr>
      <w:r>
        <w:t xml:space="preserve">Abra con una versión reducida de la tarea que casi cualquiera resuelve, y hágala visible.</w:t>
      </w:r>
    </w:p>
    <w:p>
      <w:pPr>
        <w:pStyle w:val="ListParagraph"/>
        <w:numPr>
          <w:ilvl w:val="0"/>
          <w:numId w:val="1"/>
        </w:numPr>
        <w:spacing w:after="80"/>
      </w:pPr>
      <w:r>
        <w:t xml:space="preserve">Diga en voz alta qué se necesita saber para entrar, y confirme que ya lo tienen.</w:t>
      </w:r>
    </w:p>
    <w:p>
      <w:pPr>
        <w:pStyle w:val="ListParagraph"/>
        <w:numPr>
          <w:ilvl w:val="0"/>
          <w:numId w:val="1"/>
        </w:numPr>
        <w:spacing w:after="80"/>
      </w:pPr>
      <w:r>
        <w:t xml:space="preserve">Evite abrir con lo más difícil “para que vean el reto”: cierra esta cerradura de golpe.</w:t>
      </w:r>
    </w:p>
    <w:p>
      <w:pPr>
        <w:pStyle w:val="Heading2"/>
        <w:spacing w:after="100" w:before="240"/>
      </w:pPr>
      <w:r>
        <w:rPr>
          <w:color w:val="1F4E79"/>
        </w:rPr>
        <w:t xml:space="preserve">3 · Para la respuesta emocional — cambie lo que el contenido despierta</w:t>
      </w:r>
    </w:p>
    <w:p>
      <w:pPr>
        <w:spacing w:after="120"/>
      </w:pPr>
      <w:r>
        <w:rPr>
          <w:b w:val="false"/>
          <w:bCs w:val="false"/>
          <w:i w:val="false"/>
          <w:iCs w:val="false"/>
        </w:rPr>
        <w:t xml:space="preserve">La curiosidad se provoca con una contradicción, una sorpresa, un dato que no cuadra. Y la ansiedad se baja con algo muy concreto.</w:t>
      </w:r>
    </w:p>
    <w:p>
      <w:pPr>
        <w:pStyle w:val="ListParagraph"/>
        <w:numPr>
          <w:ilvl w:val="0"/>
          <w:numId w:val="1"/>
        </w:numPr>
        <w:spacing w:after="80"/>
      </w:pPr>
      <w:r>
        <w:t xml:space="preserve">Muestre dos cosas que deberían ser distintas y son iguales, o al revés.</w:t>
      </w:r>
    </w:p>
    <w:p>
      <w:pPr>
        <w:pStyle w:val="ListParagraph"/>
        <w:numPr>
          <w:ilvl w:val="0"/>
          <w:numId w:val="1"/>
        </w:numPr>
        <w:spacing w:after="80"/>
      </w:pPr>
      <w:r>
        <w:t xml:space="preserve">Diga de antemano cómo se va a evaluar. Buena parte del miedo en un aula no es al contenido: es a la sanción imprevisible.</w:t>
      </w:r>
    </w:p>
    <w:p>
      <w:pPr>
        <w:pStyle w:val="ListParagraph"/>
        <w:numPr>
          <w:ilvl w:val="0"/>
          <w:numId w:val="1"/>
        </w:numPr>
        <w:spacing w:after="80"/>
      </w:pPr>
      <w:r>
        <w:t xml:space="preserve">Permita el error en voz alta al principio, cuando todavía no cuenta.</w:t>
      </w:r>
    </w:p>
    <w:p>
      <w:pPr>
        <w:pStyle w:val="Heading2"/>
        <w:spacing w:after="100" w:before="240"/>
      </w:pPr>
      <w:r>
        <w:rPr>
          <w:color w:val="1F4E79"/>
        </w:rPr>
        <w:t xml:space="preserve">4 · Para la motivación — haga visible la relación entre esfuerzo y resultado</w:t>
      </w:r>
    </w:p>
    <w:p>
      <w:pPr>
        <w:spacing w:after="120"/>
      </w:pPr>
      <w:r>
        <w:rPr>
          <w:b w:val="false"/>
          <w:bCs w:val="false"/>
          <w:i w:val="false"/>
          <w:iCs w:val="false"/>
        </w:rPr>
        <w:t xml:space="preserve">Un esfuerzo con horizonte se sostiene; uno sin horizonte se abandona.</w:t>
      </w:r>
    </w:p>
    <w:p>
      <w:pPr>
        <w:pStyle w:val="ListParagraph"/>
        <w:numPr>
          <w:ilvl w:val="0"/>
          <w:numId w:val="1"/>
        </w:numPr>
        <w:spacing w:after="80"/>
      </w:pPr>
      <w:r>
        <w:t xml:space="preserve">Diga qué van a lograr, en cuánto tiempo y qué van a poder hacer después.</w:t>
      </w:r>
    </w:p>
    <w:p>
      <w:pPr>
        <w:pStyle w:val="ListParagraph"/>
        <w:numPr>
          <w:ilvl w:val="0"/>
          <w:numId w:val="1"/>
        </w:numPr>
        <w:spacing w:after="80"/>
      </w:pPr>
      <w:r>
        <w:t xml:space="preserve">Anuncie la entrega desde el primer minuto, no al final de la clase.</w:t>
      </w:r>
    </w:p>
    <w:p>
      <w:pPr>
        <w:pStyle w:val="ListParagraph"/>
        <w:numPr>
          <w:ilvl w:val="0"/>
          <w:numId w:val="1"/>
        </w:numPr>
        <w:spacing w:after="80"/>
      </w:pPr>
      <w:r>
        <w:t xml:space="preserve">Divida lo largo en tramos con un resultado visible en cada uno.</w:t>
      </w:r>
    </w:p>
    <w:p>
      <w:pPr>
        <w:pStyle w:val="Heading2"/>
        <w:spacing w:after="100" w:before="240"/>
      </w:pPr>
      <w:r>
        <w:rPr>
          <w:color w:val="1F4E79"/>
        </w:rPr>
        <w:t xml:space="preserve">El error más común</w:t>
      </w:r>
    </w:p>
    <w:p>
      <w:pPr>
        <w:spacing w:after="120"/>
      </w:pPr>
      <w:r>
        <w:rPr>
          <w:b w:val="false"/>
          <w:bCs w:val="false"/>
          <w:i w:val="false"/>
          <w:iCs w:val="false"/>
        </w:rPr>
        <w:t xml:space="preserve">Casi todas las aperturas de clase que existen trabajan un solo filtro: el de la importancia. Y la importancia es justamente el que menos se cierra en los grupos que ya vienen dispuestos. El que se cierra en silencio, sin que nadie diga nada, suele ser el de la eficacia — porque nadie levanta la mano para decir “creo que no soy capaz”.</w:t>
      </w:r>
    </w:p>
    <w:p>
      <w:pPr>
        <w:pStyle w:val="Heading2"/>
        <w:spacing w:after="100" w:before="240"/>
      </w:pPr>
      <w:r>
        <w:rPr>
          <w:color w:val="1F4E79"/>
        </w:rPr>
        <w:t xml:space="preserve">Marque tres</w:t>
      </w:r>
    </w:p>
    <w:p>
      <w:pPr>
        <w:spacing w:after="120"/>
      </w:pPr>
      <w:r>
        <w:rPr>
          <w:b w:val="false"/>
          <w:bCs w:val="false"/>
          <w:i w:val="false"/>
          <w:iCs w:val="false"/>
        </w:rPr>
        <w:t xml:space="preserve">De los doce movimientos de arriba, marque los tres que le parezcan más aplicables a su asignatura. Son con los que va a trabajar en la clase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200"/>
            <w:shd w:fill="DCE6F1" w:val="clear"/>
            <w:tcMar>
              <w:top w:type="dxa" w:w="80"/>
              <w:left w:type="dxa" w:w="120"/>
              <w:bottom w:type="dxa" w:w="80"/>
              <w:right w:type="dxa" w:w="120"/>
            </w:tcMar>
          </w:tcPr>
          <w:p>
            <w:r>
              <w:rPr>
                <w:b/>
                <w:bCs/>
                <w:sz w:val="19"/>
                <w:szCs w:val="19"/>
              </w:rPr>
              <w:t xml:space="preserve">Movimiento que voy a usar</w:t>
            </w:r>
          </w:p>
        </w:tc>
        <w:tc>
          <w:tcPr>
            <w:tcW w:type="dxa" w:w="4000"/>
            <w:shd w:fill="DCE6F1" w:val="clear"/>
            <w:tcMar>
              <w:top w:type="dxa" w:w="80"/>
              <w:left w:type="dxa" w:w="120"/>
              <w:bottom w:type="dxa" w:w="80"/>
              <w:right w:type="dxa" w:w="120"/>
            </w:tcMar>
          </w:tcPr>
          <w:p>
            <w:r>
              <w:rPr>
                <w:b/>
                <w:bCs/>
                <w:sz w:val="19"/>
                <w:szCs w:val="19"/>
              </w:rPr>
              <w:t xml:space="preserve">En qué clase mía</w:t>
            </w:r>
          </w:p>
        </w:tc>
      </w:tr>
      <w:tr>
        <w:tc>
          <w:tcPr>
            <w:tcW w:type="dxa" w:w="5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5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5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2 · Los cuatro movimientos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2026-08-04T15:38:39.979Z</dcterms:created>
  <dcterms:modified xsi:type="dcterms:W3CDTF">2026-08-04T15:38:39.979Z</dcterms:modified>
</cp:coreProperties>
</file>

<file path=docProps/custom.xml><?xml version="1.0" encoding="utf-8"?>
<Properties xmlns="http://schemas.openxmlformats.org/officeDocument/2006/custom-properties" xmlns:vt="http://schemas.openxmlformats.org/officeDocument/2006/docPropsVTypes"/>
</file>