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patterns-Bernardo Carvalho 60012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Class location: \ganttproject\src\main\java\net\sourceforge\ganttproject\resource\HumanResource.java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This design pattern is a singleton because the variable myloadDistribution is only initiated on the get method which returns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847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81625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location: \ganttproject\src\main\java\net\sourceforge\ganttproject\undo\UndoableEditImpl.java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design pattern is known as Memento Pattern. It is used in order to return an object to one of its previous states.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73460" cy="31375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460" cy="313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location: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\ganttproject/blob/master/biz.ganttproject.desktop/src/biz/ganttproject/desktop/DesktopAdapter.java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code pattern is the Adapter Pattern which is used to facilitate the communication between two systems of the program.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