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Pr="00723209" w:rsidRDefault="00544BB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04F3B07A" w14:textId="268FFDCA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p w14:paraId="65904579" w14:textId="77777777" w:rsidR="006360C2" w:rsidRDefault="006360C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5BCCAE6A" w14:textId="564C029B" w:rsidR="003537FA" w:rsidRPr="00723209" w:rsidRDefault="006360C2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 – Iniciando projeto</w:t>
      </w:r>
    </w:p>
    <w:p w14:paraId="267E893C" w14:textId="0FC3A58C" w:rsidR="003537FA" w:rsidRDefault="003537FA" w:rsidP="00544BB6">
      <w:pPr>
        <w:spacing w:before="240"/>
        <w:rPr>
          <w:rFonts w:ascii="Arial" w:hAnsi="Arial" w:cs="Arial"/>
          <w:sz w:val="24"/>
          <w:szCs w:val="24"/>
        </w:rPr>
      </w:pPr>
      <w:r w:rsidRPr="003537FA">
        <w:rPr>
          <w:rFonts w:ascii="Arial" w:hAnsi="Arial" w:cs="Arial"/>
          <w:b/>
          <w:bCs/>
          <w:sz w:val="24"/>
          <w:szCs w:val="24"/>
        </w:rPr>
        <w:t>C: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app_send_mail</w:t>
      </w:r>
    </w:p>
    <w:p w14:paraId="649CE0A2" w14:textId="77777777" w:rsidR="00723209" w:rsidRDefault="00723209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BFA9D8" w14:textId="755BD799" w:rsidR="00723209" w:rsidRDefault="00723209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0FB0A642" w14:textId="77777777" w:rsidR="00723209" w:rsidRPr="00723209" w:rsidRDefault="00723209" w:rsidP="0072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0BECFF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0DCBA709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359E3C4B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39BAC290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C74ED08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36FA06B3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687D1DFA" w14:textId="6C836726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2A202950" w14:textId="2116EDD5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F0ACD51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C7385DA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C9C92B" w14:textId="77777777" w:rsidR="0080508A" w:rsidRPr="0080508A" w:rsidRDefault="005C4436" w:rsidP="008050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="0080508A"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04C18566" w14:textId="565B6B66" w:rsidR="005C4436" w:rsidRPr="004860FC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0F273EFF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6FA8852A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F0995DE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1DC737FF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0F367FD" w14:textId="77777777" w:rsidR="005C4436" w:rsidRDefault="005C443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6E0FCBD0" w14:textId="722A5432" w:rsidR="005C4436" w:rsidRDefault="005C443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5C4436"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 w:rsidRPr="005C4436"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 w:rsidRPr="005C4436"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66AA6DBE" w14:textId="0E6F78E5" w:rsidR="005C4436" w:rsidRPr="000973F4" w:rsidRDefault="005C4436" w:rsidP="00544BB6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73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 w:rsidRPr="000973F4"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 w:rsidRPr="000973F4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 w:rsidRPr="000973F4">
        <w:rPr>
          <w:rFonts w:ascii="Arial" w:hAnsi="Arial" w:cs="Arial"/>
          <w:b/>
          <w:bCs/>
          <w:sz w:val="24"/>
          <w:szCs w:val="24"/>
        </w:rPr>
        <w:t>iniciativas prontas</w:t>
      </w:r>
      <w:r w:rsidRPr="000973F4">
        <w:rPr>
          <w:rFonts w:ascii="Arial" w:hAnsi="Arial" w:cs="Arial"/>
          <w:sz w:val="24"/>
          <w:szCs w:val="24"/>
        </w:rPr>
        <w:t>;</w:t>
      </w:r>
    </w:p>
    <w:p w14:paraId="27D00940" w14:textId="704E7F1D" w:rsidR="005C4436" w:rsidRDefault="005C4436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73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Muitas </w:t>
      </w:r>
      <w:r w:rsidRPr="000973F4"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4475B382" w14:textId="4C8A4A3A" w:rsidR="000973F4" w:rsidRPr="000973F4" w:rsidRDefault="000973F4" w:rsidP="00544BB6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 w:rsidRPr="000973F4"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 w:rsidRPr="000973F4"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 w:rsidRPr="000973F4"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2D5A8DF9" w14:textId="1C264BF2" w:rsidR="000973F4" w:rsidRDefault="000973F4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 w:rsidRPr="000973F4"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444F3AB3" w14:textId="7042C0FA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biblioteca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2E8BB0EE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0F7460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F05F84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F8D2039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419F94F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0E4A6E6E" w14:textId="220EDDC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6BB35F7" w14:textId="27E28DC5" w:rsidR="00054052" w:rsidRDefault="00054052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1DE621DE" w14:textId="77777777" w:rsidR="00054052" w:rsidRDefault="0005405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2ED43A82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1ED54DF8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1CD42B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50474DA" w14:textId="49C4BC48" w:rsid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15A35768" w14:textId="77777777" w:rsid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2919F7E5" w14:textId="23A7F56B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68876FAD" w14:textId="0CEB5530" w:rsidR="00054052" w:rsidRDefault="0080508A" w:rsidP="0005405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6FC8ED7B" w14:textId="77777777" w:rsidR="0080508A" w:rsidRDefault="0080508A" w:rsidP="00054052">
      <w:pPr>
        <w:spacing w:before="240"/>
        <w:rPr>
          <w:rFonts w:ascii="Arial" w:hAnsi="Arial" w:cs="Arial"/>
          <w:sz w:val="24"/>
          <w:szCs w:val="24"/>
        </w:rPr>
      </w:pPr>
    </w:p>
    <w:p w14:paraId="319DE863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11E8E0A7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DFF3379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32666367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D0033F9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B8EE4" w14:textId="03EF996D" w:rsidR="0080508A" w:rsidRDefault="0080508A" w:rsidP="0080508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319875B0" w14:textId="3293060A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05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0E7B981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4C4582B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7715FA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74C2DA7" w14:textId="404257E2" w:rsidR="00635848" w:rsidRDefault="00635848" w:rsidP="00635848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1C4CF75" w14:textId="77777777" w:rsidR="00635848" w:rsidRPr="00635848" w:rsidRDefault="00635848" w:rsidP="0063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63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3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5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63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3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3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63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 w:rsidRPr="0063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06579B1E" w14:textId="77777777" w:rsidR="00635848" w:rsidRPr="00635848" w:rsidRDefault="00635848" w:rsidP="0063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 w:rsidRPr="0063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3D4ABAF" w14:textId="77777777" w:rsidR="00635848" w:rsidRPr="005C4436" w:rsidRDefault="00635848" w:rsidP="00635848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sectPr w:rsidR="00635848" w:rsidRPr="005C4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54052"/>
    <w:rsid w:val="00072F8F"/>
    <w:rsid w:val="0008087E"/>
    <w:rsid w:val="000973F4"/>
    <w:rsid w:val="000A215D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5F2E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2F1173"/>
    <w:rsid w:val="003127BC"/>
    <w:rsid w:val="003239AA"/>
    <w:rsid w:val="00344842"/>
    <w:rsid w:val="00352758"/>
    <w:rsid w:val="003537FA"/>
    <w:rsid w:val="00357A99"/>
    <w:rsid w:val="0036042D"/>
    <w:rsid w:val="003A1E9D"/>
    <w:rsid w:val="003F0709"/>
    <w:rsid w:val="003F098E"/>
    <w:rsid w:val="00443500"/>
    <w:rsid w:val="0047246B"/>
    <w:rsid w:val="00472E62"/>
    <w:rsid w:val="004860FC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C4436"/>
    <w:rsid w:val="005E6E7E"/>
    <w:rsid w:val="005F0967"/>
    <w:rsid w:val="005F22D2"/>
    <w:rsid w:val="00612A0A"/>
    <w:rsid w:val="0061341B"/>
    <w:rsid w:val="006210E8"/>
    <w:rsid w:val="00634441"/>
    <w:rsid w:val="00635848"/>
    <w:rsid w:val="006360C2"/>
    <w:rsid w:val="0066170F"/>
    <w:rsid w:val="006830F8"/>
    <w:rsid w:val="006D24A7"/>
    <w:rsid w:val="006F5E66"/>
    <w:rsid w:val="00723209"/>
    <w:rsid w:val="007604DC"/>
    <w:rsid w:val="00763FBB"/>
    <w:rsid w:val="007A686F"/>
    <w:rsid w:val="007A7034"/>
    <w:rsid w:val="007C42ED"/>
    <w:rsid w:val="007D36D7"/>
    <w:rsid w:val="007E45CD"/>
    <w:rsid w:val="0080508A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19</Pages>
  <Words>3989</Words>
  <Characters>21542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127</cp:revision>
  <dcterms:created xsi:type="dcterms:W3CDTF">2023-08-08T16:40:00Z</dcterms:created>
  <dcterms:modified xsi:type="dcterms:W3CDTF">2023-08-16T17:53:00Z</dcterms:modified>
</cp:coreProperties>
</file>