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Herança</w:t>
      </w:r>
      <w:r w:rsidRPr="0061341B">
        <w:rPr>
          <w:rFonts w:ascii="Arial" w:hAnsi="Arial" w:cs="Arial"/>
          <w:b/>
          <w:bCs/>
          <w:sz w:val="28"/>
          <w:szCs w:val="28"/>
        </w:rPr>
        <w:t xml:space="preserve">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genéricas</w:t>
      </w:r>
      <w:r>
        <w:rPr>
          <w:rFonts w:ascii="Arial" w:hAnsi="Arial" w:cs="Arial"/>
          <w:sz w:val="24"/>
          <w:szCs w:val="24"/>
        </w:rPr>
        <w:t xml:space="preserve"> e classe</w:t>
      </w:r>
      <w:r>
        <w:rPr>
          <w:rFonts w:ascii="Arial" w:hAnsi="Arial" w:cs="Arial"/>
          <w:sz w:val="24"/>
          <w:szCs w:val="24"/>
        </w:rPr>
        <w:t>s especializadas</w:t>
      </w:r>
      <w:r>
        <w:rPr>
          <w:rFonts w:ascii="Arial" w:hAnsi="Arial" w:cs="Arial"/>
          <w:sz w:val="24"/>
          <w:szCs w:val="24"/>
        </w:rPr>
        <w:t>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Super c</w:t>
      </w:r>
      <w:r>
        <w:rPr>
          <w:rFonts w:ascii="Arial" w:hAnsi="Arial" w:cs="Arial"/>
          <w:sz w:val="24"/>
          <w:szCs w:val="24"/>
        </w:rPr>
        <w:t>lass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17BBDE7" w14:textId="2AED8BA4" w:rsidR="00925B97" w:rsidRP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8733E04" w14:textId="78D05F9E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</w:t>
      </w:r>
      <w:r>
        <w:rPr>
          <w:rFonts w:ascii="Arial" w:hAnsi="Arial" w:cs="Arial"/>
          <w:sz w:val="24"/>
          <w:szCs w:val="24"/>
        </w:rPr>
        <w:t>s da relação de herança: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A8D2538" w14:textId="77777777" w:rsidR="00102092" w:rsidRP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3701441" w14:textId="6387DDB3" w:rsidR="0061341B" w:rsidRP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;</w:t>
      </w:r>
      <w:proofErr w:type="gramEnd"/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.</w:t>
      </w:r>
    </w:p>
    <w:p w14:paraId="337554C4" w14:textId="44ED08C2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F791E"/>
    <w:rsid w:val="00102092"/>
    <w:rsid w:val="0012636B"/>
    <w:rsid w:val="001819CC"/>
    <w:rsid w:val="001A6E1E"/>
    <w:rsid w:val="00203E67"/>
    <w:rsid w:val="00237722"/>
    <w:rsid w:val="00247EDD"/>
    <w:rsid w:val="00253B9E"/>
    <w:rsid w:val="00262EBE"/>
    <w:rsid w:val="00263F74"/>
    <w:rsid w:val="00352758"/>
    <w:rsid w:val="00357A99"/>
    <w:rsid w:val="0036042D"/>
    <w:rsid w:val="003A1E9D"/>
    <w:rsid w:val="003F0709"/>
    <w:rsid w:val="00443500"/>
    <w:rsid w:val="00472E62"/>
    <w:rsid w:val="004D198E"/>
    <w:rsid w:val="00517C62"/>
    <w:rsid w:val="00561D15"/>
    <w:rsid w:val="00566065"/>
    <w:rsid w:val="005F22D2"/>
    <w:rsid w:val="0061341B"/>
    <w:rsid w:val="00634441"/>
    <w:rsid w:val="006F5E66"/>
    <w:rsid w:val="007C42ED"/>
    <w:rsid w:val="007D36D7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5B64"/>
    <w:rsid w:val="009946F1"/>
    <w:rsid w:val="009B07C8"/>
    <w:rsid w:val="009C31D6"/>
    <w:rsid w:val="009E0786"/>
    <w:rsid w:val="00A03A17"/>
    <w:rsid w:val="00A318F8"/>
    <w:rsid w:val="00B753EE"/>
    <w:rsid w:val="00CC1D56"/>
    <w:rsid w:val="00CC216A"/>
    <w:rsid w:val="00CD4C6F"/>
    <w:rsid w:val="00CE3391"/>
    <w:rsid w:val="00CF0CC5"/>
    <w:rsid w:val="00D157A6"/>
    <w:rsid w:val="00DC1140"/>
    <w:rsid w:val="00DC5F96"/>
    <w:rsid w:val="00E258E4"/>
    <w:rsid w:val="00EA3B8B"/>
    <w:rsid w:val="00EB237C"/>
    <w:rsid w:val="00EB7DCF"/>
    <w:rsid w:val="00E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1562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48</cp:revision>
  <dcterms:created xsi:type="dcterms:W3CDTF">2023-08-08T16:40:00Z</dcterms:created>
  <dcterms:modified xsi:type="dcterms:W3CDTF">2023-08-09T20:47:00Z</dcterms:modified>
</cp:coreProperties>
</file>