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B7367" w14:textId="77777777" w:rsidR="009924B3" w:rsidRPr="006D261B" w:rsidRDefault="00000000">
      <w:pPr>
        <w:pStyle w:val="Ttulo1"/>
        <w:jc w:val="center"/>
        <w:rPr>
          <w:lang w:val="es-CO"/>
        </w:rPr>
      </w:pPr>
      <w:r w:rsidRPr="006D261B">
        <w:rPr>
          <w:lang w:val="es-CO"/>
        </w:rPr>
        <w:t>6.4 Integración de Datos</w:t>
      </w:r>
    </w:p>
    <w:p w14:paraId="4B670338" w14:textId="77777777" w:rsidR="009924B3" w:rsidRPr="006D261B" w:rsidRDefault="00000000">
      <w:pPr>
        <w:rPr>
          <w:lang w:val="es-CO"/>
        </w:rPr>
      </w:pPr>
      <w:r w:rsidRPr="006D261B">
        <w:rPr>
          <w:lang w:val="es-CO"/>
        </w:rPr>
        <w:t>Objetivo 1: Desarrollar un conjunto de datos de entrenamiento compuesto por bacterias bucales y sus respectivos marcadores genómicos de patogenicidad y resistencia.</w:t>
      </w:r>
    </w:p>
    <w:p w14:paraId="49F35C27" w14:textId="77777777" w:rsidR="009924B3" w:rsidRDefault="00000000">
      <w:pPr>
        <w:pStyle w:val="Ttulo2"/>
      </w:pPr>
      <w:r>
        <w:t>Explicación del código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4320"/>
      </w:tblGrid>
      <w:tr w:rsidR="009924B3" w14:paraId="7EF0C05F" w14:textId="77777777">
        <w:tc>
          <w:tcPr>
            <w:tcW w:w="2880" w:type="dxa"/>
          </w:tcPr>
          <w:p w14:paraId="182311B9" w14:textId="77777777" w:rsidR="009924B3" w:rsidRDefault="00000000">
            <w:r>
              <w:t>Paso</w:t>
            </w:r>
          </w:p>
        </w:tc>
        <w:tc>
          <w:tcPr>
            <w:tcW w:w="4320" w:type="dxa"/>
          </w:tcPr>
          <w:p w14:paraId="146B999C" w14:textId="77777777" w:rsidR="009924B3" w:rsidRDefault="00000000">
            <w:r>
              <w:t>Descripción</w:t>
            </w:r>
          </w:p>
        </w:tc>
      </w:tr>
      <w:tr w:rsidR="009924B3" w:rsidRPr="006D261B" w14:paraId="05C15847" w14:textId="77777777">
        <w:tc>
          <w:tcPr>
            <w:tcW w:w="2880" w:type="dxa"/>
          </w:tcPr>
          <w:p w14:paraId="75110062" w14:textId="77777777" w:rsidR="009924B3" w:rsidRDefault="00000000">
            <w:r>
              <w:t>1. Paleta de colores unificada</w:t>
            </w:r>
          </w:p>
        </w:tc>
        <w:tc>
          <w:tcPr>
            <w:tcW w:w="4320" w:type="dxa"/>
          </w:tcPr>
          <w:p w14:paraId="2848A3D1" w14:textId="77777777" w:rsidR="009924B3" w:rsidRPr="006D261B" w:rsidRDefault="00000000">
            <w:pPr>
              <w:rPr>
                <w:lang w:val="es-CO"/>
              </w:rPr>
            </w:pPr>
            <w:r w:rsidRPr="006D261B">
              <w:rPr>
                <w:lang w:val="es-CO"/>
              </w:rPr>
              <w:t>Se define una paleta de colores (PALETTE) utilizada en todos los gráficos generados, para mantener consistencia visual en los resultados.</w:t>
            </w:r>
          </w:p>
        </w:tc>
      </w:tr>
      <w:tr w:rsidR="009924B3" w:rsidRPr="006D261B" w14:paraId="51ED6D0A" w14:textId="77777777">
        <w:tc>
          <w:tcPr>
            <w:tcW w:w="2880" w:type="dxa"/>
          </w:tcPr>
          <w:p w14:paraId="65645CFB" w14:textId="77777777" w:rsidR="009924B3" w:rsidRPr="006D261B" w:rsidRDefault="00000000">
            <w:pPr>
              <w:rPr>
                <w:lang w:val="es-CO"/>
              </w:rPr>
            </w:pPr>
            <w:r w:rsidRPr="006D261B">
              <w:rPr>
                <w:lang w:val="es-CO"/>
              </w:rPr>
              <w:t>2. Conversión de tipo de datos</w:t>
            </w:r>
          </w:p>
        </w:tc>
        <w:tc>
          <w:tcPr>
            <w:tcW w:w="4320" w:type="dxa"/>
          </w:tcPr>
          <w:p w14:paraId="564FE412" w14:textId="77777777" w:rsidR="009924B3" w:rsidRPr="006D261B" w:rsidRDefault="00000000">
            <w:pPr>
              <w:rPr>
                <w:lang w:val="es-CO"/>
              </w:rPr>
            </w:pPr>
            <w:r w:rsidRPr="006D261B">
              <w:rPr>
                <w:lang w:val="es-CO"/>
              </w:rPr>
              <w:t>La función _ensure_str() convierte columnas específicas a tipo string para evitar errores de comparación durante las uniones (merge).</w:t>
            </w:r>
          </w:p>
        </w:tc>
      </w:tr>
      <w:tr w:rsidR="009924B3" w:rsidRPr="006D261B" w14:paraId="0C6FD7C4" w14:textId="77777777">
        <w:tc>
          <w:tcPr>
            <w:tcW w:w="2880" w:type="dxa"/>
          </w:tcPr>
          <w:p w14:paraId="1C7D050E" w14:textId="77777777" w:rsidR="009924B3" w:rsidRDefault="00000000">
            <w:r>
              <w:t>3. Gráficos de coincidencias</w:t>
            </w:r>
          </w:p>
        </w:tc>
        <w:tc>
          <w:tcPr>
            <w:tcW w:w="4320" w:type="dxa"/>
          </w:tcPr>
          <w:p w14:paraId="0337BD8F" w14:textId="77777777" w:rsidR="009924B3" w:rsidRPr="006D261B" w:rsidRDefault="00000000">
            <w:pPr>
              <w:rPr>
                <w:lang w:val="es-CO"/>
              </w:rPr>
            </w:pPr>
            <w:r w:rsidRPr="006D261B">
              <w:rPr>
                <w:lang w:val="es-CO"/>
              </w:rPr>
              <w:t>La función pie_match_vs_nomatch() calcula el número y porcentaje de coincidencias y no coincidencias entre dos conjuntos de datos y genera un gráfico tipo torta que representa esa proporción.</w:t>
            </w:r>
          </w:p>
        </w:tc>
      </w:tr>
      <w:tr w:rsidR="009924B3" w:rsidRPr="006D261B" w14:paraId="2CDA381C" w14:textId="77777777">
        <w:tc>
          <w:tcPr>
            <w:tcW w:w="2880" w:type="dxa"/>
          </w:tcPr>
          <w:p w14:paraId="39B53241" w14:textId="77777777" w:rsidR="009924B3" w:rsidRPr="006D261B" w:rsidRDefault="00000000">
            <w:pPr>
              <w:rPr>
                <w:lang w:val="es-CO"/>
              </w:rPr>
            </w:pPr>
            <w:r w:rsidRPr="006D261B">
              <w:rPr>
                <w:lang w:val="es-CO"/>
              </w:rPr>
              <w:t>4. Exportación de reportes de unión</w:t>
            </w:r>
          </w:p>
        </w:tc>
        <w:tc>
          <w:tcPr>
            <w:tcW w:w="4320" w:type="dxa"/>
          </w:tcPr>
          <w:p w14:paraId="7755ACFC" w14:textId="77777777" w:rsidR="009924B3" w:rsidRPr="006D261B" w:rsidRDefault="00000000">
            <w:pPr>
              <w:rPr>
                <w:lang w:val="es-CO"/>
              </w:rPr>
            </w:pPr>
            <w:r w:rsidRPr="006D261B">
              <w:rPr>
                <w:lang w:val="es-CO"/>
              </w:rPr>
              <w:t>La función export_join_reports() realiza las uniones entre tablas, identifica los registros coincidentes y no coincidentes, guarda los resultados en archivos .csv y genera el gráfico correspondiente.</w:t>
            </w:r>
          </w:p>
        </w:tc>
      </w:tr>
      <w:tr w:rsidR="009924B3" w:rsidRPr="006D261B" w14:paraId="615CEF8F" w14:textId="77777777">
        <w:tc>
          <w:tcPr>
            <w:tcW w:w="2880" w:type="dxa"/>
          </w:tcPr>
          <w:p w14:paraId="4AA747B0" w14:textId="77777777" w:rsidR="009924B3" w:rsidRDefault="00000000">
            <w:r>
              <w:t>5. Integraciones progresivas</w:t>
            </w:r>
          </w:p>
        </w:tc>
        <w:tc>
          <w:tcPr>
            <w:tcW w:w="4320" w:type="dxa"/>
          </w:tcPr>
          <w:p w14:paraId="0E7609A6" w14:textId="77777777" w:rsidR="009924B3" w:rsidRPr="006D261B" w:rsidRDefault="00000000">
            <w:pPr>
              <w:rPr>
                <w:lang w:val="es-CO"/>
              </w:rPr>
            </w:pPr>
            <w:r w:rsidRPr="006D261B">
              <w:rPr>
                <w:lang w:val="es-CO"/>
              </w:rPr>
              <w:t>Se realizan tres integraciones consecutivas: (a) entre 001 y 002 por el campo nombre_normalizado, (b) entre la unión previa y 003 por genome_id, y (c) entre la unión resultante y 004 por el mismo campo.</w:t>
            </w:r>
          </w:p>
        </w:tc>
      </w:tr>
      <w:tr w:rsidR="009924B3" w:rsidRPr="006D261B" w14:paraId="3DD0F526" w14:textId="77777777">
        <w:tc>
          <w:tcPr>
            <w:tcW w:w="2880" w:type="dxa"/>
          </w:tcPr>
          <w:p w14:paraId="3F8FEACC" w14:textId="77777777" w:rsidR="009924B3" w:rsidRDefault="00000000">
            <w:r>
              <w:t>6. Resumen general de integraciones</w:t>
            </w:r>
          </w:p>
          <w:p w14:paraId="455F1B03" w14:textId="77777777" w:rsidR="00DE7A5A" w:rsidRDefault="00DE7A5A"/>
        </w:tc>
        <w:tc>
          <w:tcPr>
            <w:tcW w:w="4320" w:type="dxa"/>
          </w:tcPr>
          <w:p w14:paraId="6C9C28AA" w14:textId="77777777" w:rsidR="009924B3" w:rsidRPr="006D261B" w:rsidRDefault="00000000">
            <w:pPr>
              <w:rPr>
                <w:lang w:val="es-CO"/>
              </w:rPr>
            </w:pPr>
            <w:r w:rsidRPr="006D261B">
              <w:rPr>
                <w:lang w:val="es-CO"/>
              </w:rPr>
              <w:t>Los resultados de cada integración se resumen en un archivo (resumen_integracion.csv) que contiene los totales de registros base, coincidencias, porcentajes y rutas de salida generadas.</w:t>
            </w:r>
          </w:p>
        </w:tc>
      </w:tr>
      <w:tr w:rsidR="009924B3" w:rsidRPr="006D261B" w14:paraId="4692E2BB" w14:textId="77777777">
        <w:tc>
          <w:tcPr>
            <w:tcW w:w="2880" w:type="dxa"/>
          </w:tcPr>
          <w:p w14:paraId="14598228" w14:textId="77777777" w:rsidR="009924B3" w:rsidRDefault="00000000">
            <w:r>
              <w:t xml:space="preserve">7. Gráficos analíticos </w:t>
            </w:r>
            <w:r>
              <w:lastRenderedPageBreak/>
              <w:t>adicionales</w:t>
            </w:r>
          </w:p>
        </w:tc>
        <w:tc>
          <w:tcPr>
            <w:tcW w:w="4320" w:type="dxa"/>
          </w:tcPr>
          <w:p w14:paraId="48E2F9B8" w14:textId="77777777" w:rsidR="009924B3" w:rsidRPr="006D261B" w:rsidRDefault="00000000">
            <w:pPr>
              <w:rPr>
                <w:lang w:val="es-CO"/>
              </w:rPr>
            </w:pPr>
            <w:r w:rsidRPr="006D261B">
              <w:rPr>
                <w:lang w:val="es-CO"/>
              </w:rPr>
              <w:lastRenderedPageBreak/>
              <w:t xml:space="preserve">Se generan gráficos de distribución de las variables evidence y resistant_phenotype, </w:t>
            </w:r>
            <w:r w:rsidRPr="006D261B">
              <w:rPr>
                <w:lang w:val="es-CO"/>
              </w:rPr>
              <w:lastRenderedPageBreak/>
              <w:t>tanto en su versión completa como con la exclusión de valores nulos o inválidos.</w:t>
            </w:r>
          </w:p>
        </w:tc>
      </w:tr>
      <w:tr w:rsidR="009924B3" w:rsidRPr="006D261B" w14:paraId="5CC5BEDB" w14:textId="77777777">
        <w:tc>
          <w:tcPr>
            <w:tcW w:w="2880" w:type="dxa"/>
          </w:tcPr>
          <w:p w14:paraId="0C110670" w14:textId="77777777" w:rsidR="009924B3" w:rsidRDefault="00000000">
            <w:r>
              <w:lastRenderedPageBreak/>
              <w:t>8. Resumen impreso de resultados</w:t>
            </w:r>
          </w:p>
        </w:tc>
        <w:tc>
          <w:tcPr>
            <w:tcW w:w="4320" w:type="dxa"/>
          </w:tcPr>
          <w:p w14:paraId="0430BCC0" w14:textId="77777777" w:rsidR="009924B3" w:rsidRPr="006D261B" w:rsidRDefault="00000000">
            <w:pPr>
              <w:rPr>
                <w:lang w:val="es-CO"/>
              </w:rPr>
            </w:pPr>
            <w:r w:rsidRPr="006D261B">
              <w:rPr>
                <w:lang w:val="es-CO"/>
              </w:rPr>
              <w:t>Se imprime en consola el resumen final de las tres integraciones con sus respectivos totales, porcentajes y nombres de archivos exportados.</w:t>
            </w:r>
          </w:p>
        </w:tc>
      </w:tr>
    </w:tbl>
    <w:p w14:paraId="2937BEBD" w14:textId="77777777" w:rsidR="009924B3" w:rsidRDefault="00000000">
      <w:pPr>
        <w:pStyle w:val="Ttulo2"/>
      </w:pPr>
      <w:r>
        <w:t>Resultados de la integración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10"/>
        <w:gridCol w:w="1081"/>
        <w:gridCol w:w="1182"/>
        <w:gridCol w:w="1182"/>
        <w:gridCol w:w="1165"/>
        <w:gridCol w:w="1165"/>
      </w:tblGrid>
      <w:tr w:rsidR="006D261B" w14:paraId="52197DDD" w14:textId="77777777" w:rsidTr="006D261B">
        <w:tc>
          <w:tcPr>
            <w:tcW w:w="2210" w:type="dxa"/>
          </w:tcPr>
          <w:p w14:paraId="5A9D10B5" w14:textId="77777777" w:rsidR="006D261B" w:rsidRDefault="006D261B">
            <w:r>
              <w:t>Unión</w:t>
            </w:r>
          </w:p>
        </w:tc>
        <w:tc>
          <w:tcPr>
            <w:tcW w:w="1081" w:type="dxa"/>
          </w:tcPr>
          <w:p w14:paraId="70FD26AF" w14:textId="77777777" w:rsidR="006D261B" w:rsidRDefault="006D261B">
            <w:r>
              <w:t>Total base</w:t>
            </w:r>
          </w:p>
        </w:tc>
        <w:tc>
          <w:tcPr>
            <w:tcW w:w="1182" w:type="dxa"/>
          </w:tcPr>
          <w:p w14:paraId="3AC1ECA7" w14:textId="77777777" w:rsidR="006D261B" w:rsidRDefault="006D261B">
            <w:r>
              <w:t>Coinciden</w:t>
            </w:r>
          </w:p>
        </w:tc>
        <w:tc>
          <w:tcPr>
            <w:tcW w:w="1182" w:type="dxa"/>
          </w:tcPr>
          <w:p w14:paraId="3CA09DDB" w14:textId="77777777" w:rsidR="006D261B" w:rsidRDefault="006D261B">
            <w:r>
              <w:t>% Coinciden</w:t>
            </w:r>
          </w:p>
        </w:tc>
        <w:tc>
          <w:tcPr>
            <w:tcW w:w="1165" w:type="dxa"/>
          </w:tcPr>
          <w:p w14:paraId="78D4B691" w14:textId="77777777" w:rsidR="006D261B" w:rsidRDefault="006D261B">
            <w:r>
              <w:t>No coinciden</w:t>
            </w:r>
          </w:p>
        </w:tc>
        <w:tc>
          <w:tcPr>
            <w:tcW w:w="1165" w:type="dxa"/>
          </w:tcPr>
          <w:p w14:paraId="136CDAFB" w14:textId="77777777" w:rsidR="006D261B" w:rsidRDefault="006D261B">
            <w:r>
              <w:t>% No coinciden</w:t>
            </w:r>
          </w:p>
        </w:tc>
      </w:tr>
      <w:tr w:rsidR="006D261B" w14:paraId="62DC15A6" w14:textId="77777777" w:rsidTr="006D261B">
        <w:tc>
          <w:tcPr>
            <w:tcW w:w="2210" w:type="dxa"/>
          </w:tcPr>
          <w:p w14:paraId="36FE6758" w14:textId="77777777" w:rsidR="006D261B" w:rsidRDefault="006D261B">
            <w:r>
              <w:t>001_vs_002</w:t>
            </w:r>
          </w:p>
        </w:tc>
        <w:tc>
          <w:tcPr>
            <w:tcW w:w="1081" w:type="dxa"/>
          </w:tcPr>
          <w:p w14:paraId="28F7C3ED" w14:textId="77777777" w:rsidR="006D261B" w:rsidRDefault="006D261B">
            <w:r>
              <w:t>260</w:t>
            </w:r>
          </w:p>
        </w:tc>
        <w:tc>
          <w:tcPr>
            <w:tcW w:w="1182" w:type="dxa"/>
          </w:tcPr>
          <w:p w14:paraId="4424220E" w14:textId="77777777" w:rsidR="006D261B" w:rsidRDefault="006D261B">
            <w:r>
              <w:t>205</w:t>
            </w:r>
          </w:p>
        </w:tc>
        <w:tc>
          <w:tcPr>
            <w:tcW w:w="1182" w:type="dxa"/>
          </w:tcPr>
          <w:p w14:paraId="393B4D73" w14:textId="77777777" w:rsidR="006D261B" w:rsidRDefault="006D261B">
            <w:r>
              <w:t>78.85%</w:t>
            </w:r>
          </w:p>
        </w:tc>
        <w:tc>
          <w:tcPr>
            <w:tcW w:w="1165" w:type="dxa"/>
          </w:tcPr>
          <w:p w14:paraId="331710DE" w14:textId="77777777" w:rsidR="006D261B" w:rsidRDefault="006D261B">
            <w:r>
              <w:t>55</w:t>
            </w:r>
          </w:p>
        </w:tc>
        <w:tc>
          <w:tcPr>
            <w:tcW w:w="1165" w:type="dxa"/>
          </w:tcPr>
          <w:p w14:paraId="16EED131" w14:textId="77777777" w:rsidR="006D261B" w:rsidRDefault="006D261B">
            <w:r>
              <w:t>21.15%</w:t>
            </w:r>
          </w:p>
        </w:tc>
      </w:tr>
      <w:tr w:rsidR="006D261B" w14:paraId="6BCCB1D3" w14:textId="77777777" w:rsidTr="006D261B">
        <w:tc>
          <w:tcPr>
            <w:tcW w:w="2210" w:type="dxa"/>
          </w:tcPr>
          <w:p w14:paraId="30375AC5" w14:textId="77777777" w:rsidR="006D261B" w:rsidRDefault="006D261B">
            <w:r>
              <w:t>001_002_vs_003</w:t>
            </w:r>
          </w:p>
        </w:tc>
        <w:tc>
          <w:tcPr>
            <w:tcW w:w="1081" w:type="dxa"/>
          </w:tcPr>
          <w:p w14:paraId="21D05C79" w14:textId="77777777" w:rsidR="006D261B" w:rsidRDefault="006D261B">
            <w:r>
              <w:t>146,034</w:t>
            </w:r>
          </w:p>
        </w:tc>
        <w:tc>
          <w:tcPr>
            <w:tcW w:w="1182" w:type="dxa"/>
          </w:tcPr>
          <w:p w14:paraId="51785A4F" w14:textId="77777777" w:rsidR="006D261B" w:rsidRDefault="006D261B">
            <w:r>
              <w:t>132,339</w:t>
            </w:r>
          </w:p>
        </w:tc>
        <w:tc>
          <w:tcPr>
            <w:tcW w:w="1182" w:type="dxa"/>
          </w:tcPr>
          <w:p w14:paraId="112D6610" w14:textId="77777777" w:rsidR="006D261B" w:rsidRDefault="006D261B">
            <w:r>
              <w:t>90.62%</w:t>
            </w:r>
          </w:p>
        </w:tc>
        <w:tc>
          <w:tcPr>
            <w:tcW w:w="1165" w:type="dxa"/>
          </w:tcPr>
          <w:p w14:paraId="15B133BB" w14:textId="77777777" w:rsidR="006D261B" w:rsidRDefault="006D261B">
            <w:r>
              <w:t>13,695</w:t>
            </w:r>
          </w:p>
        </w:tc>
        <w:tc>
          <w:tcPr>
            <w:tcW w:w="1165" w:type="dxa"/>
          </w:tcPr>
          <w:p w14:paraId="4A1A3E16" w14:textId="77777777" w:rsidR="006D261B" w:rsidRDefault="006D261B">
            <w:r>
              <w:t>9.38%</w:t>
            </w:r>
          </w:p>
        </w:tc>
      </w:tr>
      <w:tr w:rsidR="006D261B" w14:paraId="09492DB9" w14:textId="77777777" w:rsidTr="006D261B">
        <w:tc>
          <w:tcPr>
            <w:tcW w:w="2210" w:type="dxa"/>
          </w:tcPr>
          <w:p w14:paraId="26CED1B5" w14:textId="77777777" w:rsidR="006D261B" w:rsidRDefault="006D261B">
            <w:r>
              <w:t>001_002_003_vs_004</w:t>
            </w:r>
          </w:p>
        </w:tc>
        <w:tc>
          <w:tcPr>
            <w:tcW w:w="1081" w:type="dxa"/>
          </w:tcPr>
          <w:p w14:paraId="7BD8CEB8" w14:textId="77777777" w:rsidR="006D261B" w:rsidRDefault="006D261B">
            <w:r>
              <w:t>132,339</w:t>
            </w:r>
          </w:p>
        </w:tc>
        <w:tc>
          <w:tcPr>
            <w:tcW w:w="1182" w:type="dxa"/>
          </w:tcPr>
          <w:p w14:paraId="477F6BE5" w14:textId="77777777" w:rsidR="006D261B" w:rsidRDefault="006D261B">
            <w:r>
              <w:t>109,831</w:t>
            </w:r>
          </w:p>
        </w:tc>
        <w:tc>
          <w:tcPr>
            <w:tcW w:w="1182" w:type="dxa"/>
          </w:tcPr>
          <w:p w14:paraId="7E5AFE30" w14:textId="77777777" w:rsidR="006D261B" w:rsidRDefault="006D261B">
            <w:r>
              <w:t>82.99%</w:t>
            </w:r>
          </w:p>
        </w:tc>
        <w:tc>
          <w:tcPr>
            <w:tcW w:w="1165" w:type="dxa"/>
          </w:tcPr>
          <w:p w14:paraId="03D67B04" w14:textId="77777777" w:rsidR="006D261B" w:rsidRDefault="006D261B">
            <w:r>
              <w:t>22,508</w:t>
            </w:r>
          </w:p>
        </w:tc>
        <w:tc>
          <w:tcPr>
            <w:tcW w:w="1165" w:type="dxa"/>
          </w:tcPr>
          <w:p w14:paraId="5639FA6E" w14:textId="77777777" w:rsidR="006D261B" w:rsidRDefault="006D261B">
            <w:r>
              <w:t>17.01%</w:t>
            </w:r>
          </w:p>
        </w:tc>
      </w:tr>
    </w:tbl>
    <w:p w14:paraId="576BCAED" w14:textId="77777777" w:rsidR="009924B3" w:rsidRDefault="00000000">
      <w:r>
        <w:br/>
        <w:t>Archivos generados:</w:t>
      </w:r>
    </w:p>
    <w:p w14:paraId="5D54D331" w14:textId="69766C81" w:rsidR="009924B3" w:rsidRPr="003A3DF6" w:rsidRDefault="00000000">
      <w:pPr>
        <w:rPr>
          <w:lang w:val="es-CO"/>
        </w:rPr>
      </w:pPr>
      <w:r w:rsidRPr="003A3DF6">
        <w:rPr>
          <w:lang w:val="es-CO"/>
        </w:rPr>
        <w:t xml:space="preserve">- inner_001_vs_002.csv, </w:t>
      </w:r>
      <w:r w:rsidR="003A3DF6" w:rsidRPr="003A3DF6">
        <w:rPr>
          <w:lang w:val="es-CO"/>
        </w:rPr>
        <w:t>(RUTA)</w:t>
      </w:r>
      <w:r w:rsidRPr="003A3DF6">
        <w:rPr>
          <w:lang w:val="es-CO"/>
        </w:rPr>
        <w:t>inner_001_002_vs_003.csv,</w:t>
      </w:r>
      <w:r w:rsidR="003A3DF6" w:rsidRPr="003A3DF6">
        <w:rPr>
          <w:lang w:val="es-CO"/>
        </w:rPr>
        <w:t xml:space="preserve"> </w:t>
      </w:r>
      <w:r w:rsidR="003A3DF6" w:rsidRPr="003A3DF6">
        <w:rPr>
          <w:lang w:val="es-CO"/>
        </w:rPr>
        <w:t>(RUTA)</w:t>
      </w:r>
      <w:r w:rsidRPr="003A3DF6">
        <w:rPr>
          <w:lang w:val="es-CO"/>
        </w:rPr>
        <w:t xml:space="preserve"> inner_001_002_003_vs_004.csv</w:t>
      </w:r>
      <w:r w:rsidR="003A3DF6" w:rsidRPr="003A3DF6">
        <w:rPr>
          <w:lang w:val="es-CO"/>
        </w:rPr>
        <w:t>(RUTA)</w:t>
      </w:r>
    </w:p>
    <w:p w14:paraId="1A36EAA0" w14:textId="77777777" w:rsidR="009924B3" w:rsidRPr="006D261B" w:rsidRDefault="00000000">
      <w:pPr>
        <w:rPr>
          <w:lang w:val="es-CO"/>
        </w:rPr>
      </w:pPr>
      <w:r w:rsidRPr="006D261B">
        <w:rPr>
          <w:lang w:val="es-CO"/>
        </w:rPr>
        <w:t>- no_001_en_002.csv, no_001_002_en_003.csv, no_001_002_003_en_004.csv</w:t>
      </w:r>
    </w:p>
    <w:p w14:paraId="47D3BE36" w14:textId="77777777" w:rsidR="009924B3" w:rsidRPr="006D261B" w:rsidRDefault="00000000">
      <w:pPr>
        <w:rPr>
          <w:lang w:val="es-CO"/>
        </w:rPr>
      </w:pPr>
      <w:r w:rsidRPr="006D261B">
        <w:rPr>
          <w:lang w:val="es-CO"/>
        </w:rPr>
        <w:t>- Gráficos tipo torta: pie_001_vs_002.png, pie_001_002_vs_003.png, pie_001_002_003_vs_004.png</w:t>
      </w:r>
    </w:p>
    <w:p w14:paraId="2134FF67" w14:textId="77777777" w:rsidR="009924B3" w:rsidRPr="006D261B" w:rsidRDefault="00000000">
      <w:pPr>
        <w:pStyle w:val="Ttulo2"/>
        <w:rPr>
          <w:lang w:val="es-CO"/>
        </w:rPr>
      </w:pPr>
      <w:r w:rsidRPr="006D261B">
        <w:rPr>
          <w:lang w:val="es-CO"/>
        </w:rPr>
        <w:t>Gráficas de resultados</w:t>
      </w:r>
    </w:p>
    <w:p w14:paraId="0936C779" w14:textId="77777777" w:rsidR="009924B3" w:rsidRPr="006D261B" w:rsidRDefault="00000000">
      <w:pPr>
        <w:rPr>
          <w:lang w:val="es-CO"/>
        </w:rPr>
      </w:pPr>
      <w:r w:rsidRPr="006D261B">
        <w:rPr>
          <w:lang w:val="es-CO"/>
        </w:rPr>
        <w:t>Figura 1. Relación entre especies de los archivos 001 y 002</w:t>
      </w:r>
    </w:p>
    <w:p w14:paraId="158F1126" w14:textId="77777777" w:rsidR="009924B3" w:rsidRPr="006D261B" w:rsidRDefault="00000000">
      <w:pPr>
        <w:rPr>
          <w:lang w:val="es-CO"/>
        </w:rPr>
      </w:pPr>
      <w:r w:rsidRPr="006D261B">
        <w:rPr>
          <w:lang w:val="es-CO"/>
        </w:rPr>
        <w:t>Figura 2. Relación entre genomas integrados (001–002) y el archivo 003</w:t>
      </w:r>
    </w:p>
    <w:p w14:paraId="2C91AE61" w14:textId="77777777" w:rsidR="009924B3" w:rsidRPr="006D261B" w:rsidRDefault="00000000">
      <w:pPr>
        <w:rPr>
          <w:lang w:val="es-CO"/>
        </w:rPr>
      </w:pPr>
      <w:r w:rsidRPr="006D261B">
        <w:rPr>
          <w:lang w:val="es-CO"/>
        </w:rPr>
        <w:t>Figura 3. Relación entre los genomas consolidados (001–002–003) y el archivo 004</w:t>
      </w:r>
    </w:p>
    <w:p w14:paraId="6BDB9554" w14:textId="77777777" w:rsidR="009924B3" w:rsidRPr="006D261B" w:rsidRDefault="00000000">
      <w:pPr>
        <w:pStyle w:val="Ttulo2"/>
        <w:rPr>
          <w:lang w:val="es-CO"/>
        </w:rPr>
      </w:pPr>
      <w:r w:rsidRPr="006D261B">
        <w:rPr>
          <w:lang w:val="es-CO"/>
        </w:rPr>
        <w:t>Descripción de los resultados</w:t>
      </w:r>
    </w:p>
    <w:p w14:paraId="61FCAC67" w14:textId="77777777" w:rsidR="009924B3" w:rsidRPr="006D261B" w:rsidRDefault="00000000">
      <w:pPr>
        <w:rPr>
          <w:lang w:val="es-CO"/>
        </w:rPr>
      </w:pPr>
      <w:r w:rsidRPr="006D261B">
        <w:rPr>
          <w:lang w:val="es-CO"/>
        </w:rPr>
        <w:t>Durante la integración se realizaron tres uniones progresivas:</w:t>
      </w:r>
      <w:r w:rsidRPr="006D261B">
        <w:rPr>
          <w:lang w:val="es-CO"/>
        </w:rPr>
        <w:br/>
      </w:r>
      <w:r w:rsidRPr="006D261B">
        <w:rPr>
          <w:lang w:val="es-CO"/>
        </w:rPr>
        <w:br/>
        <w:t>1. Entre los archivos 001 y 002, el 78.85 % de las especies (205 de 260) presentaron coincidencias por el campo nombre_normalizado.</w:t>
      </w:r>
      <w:r w:rsidRPr="006D261B">
        <w:rPr>
          <w:lang w:val="es-CO"/>
        </w:rPr>
        <w:br/>
        <w:t>2. En la segunda integración, al incorporar el archivo 003, se mantuvieron 132,339 registros coincidentes sobre un total de 146,034, equivalentes al 90.62 %.</w:t>
      </w:r>
      <w:r w:rsidRPr="006D261B">
        <w:rPr>
          <w:lang w:val="es-CO"/>
        </w:rPr>
        <w:br/>
        <w:t>3. En la última unión, con el archivo 004, se obtuvieron 109,831 coincidencias de 132,339 registros, lo que corresponde al 82.99 %.</w:t>
      </w:r>
      <w:r w:rsidRPr="006D261B">
        <w:rPr>
          <w:lang w:val="es-CO"/>
        </w:rPr>
        <w:br/>
      </w:r>
      <w:r w:rsidRPr="006D261B">
        <w:rPr>
          <w:lang w:val="es-CO"/>
        </w:rPr>
        <w:br/>
      </w:r>
      <w:r w:rsidRPr="006D261B">
        <w:rPr>
          <w:lang w:val="es-CO"/>
        </w:rPr>
        <w:lastRenderedPageBreak/>
        <w:t>El número de especies únicas se redujo de 260 iniciales a 23 después de las integraciones, como resultado de la eliminación de registros duplicados o sin correspondencia entre tablas.</w:t>
      </w:r>
    </w:p>
    <w:sectPr w:rsidR="009924B3" w:rsidRPr="006D26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851341">
    <w:abstractNumId w:val="8"/>
  </w:num>
  <w:num w:numId="2" w16cid:durableId="1837375980">
    <w:abstractNumId w:val="6"/>
  </w:num>
  <w:num w:numId="3" w16cid:durableId="1658025866">
    <w:abstractNumId w:val="5"/>
  </w:num>
  <w:num w:numId="4" w16cid:durableId="438528979">
    <w:abstractNumId w:val="4"/>
  </w:num>
  <w:num w:numId="5" w16cid:durableId="1713724670">
    <w:abstractNumId w:val="7"/>
  </w:num>
  <w:num w:numId="6" w16cid:durableId="1788768127">
    <w:abstractNumId w:val="3"/>
  </w:num>
  <w:num w:numId="7" w16cid:durableId="567299541">
    <w:abstractNumId w:val="2"/>
  </w:num>
  <w:num w:numId="8" w16cid:durableId="1994406316">
    <w:abstractNumId w:val="1"/>
  </w:num>
  <w:num w:numId="9" w16cid:durableId="1888105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DF6"/>
    <w:rsid w:val="006D261B"/>
    <w:rsid w:val="008F36A0"/>
    <w:rsid w:val="009924B3"/>
    <w:rsid w:val="00AA1D8D"/>
    <w:rsid w:val="00B47730"/>
    <w:rsid w:val="00CB0664"/>
    <w:rsid w:val="00DE7A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96486B4-B620-49E0-929D-4B0C5BB5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510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Ivan Barrera Salgado</cp:lastModifiedBy>
  <cp:revision>4</cp:revision>
  <dcterms:created xsi:type="dcterms:W3CDTF">2013-12-23T23:15:00Z</dcterms:created>
  <dcterms:modified xsi:type="dcterms:W3CDTF">2025-10-30T12:25:00Z</dcterms:modified>
  <cp:category/>
</cp:coreProperties>
</file>