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e1pdfm6e3avf" w:id="0"/>
      <w:bookmarkEnd w:id="0"/>
      <w:r w:rsidDel="00000000" w:rsidR="00000000" w:rsidRPr="00000000">
        <w:rPr>
          <w:rtl w:val="0"/>
        </w:rPr>
        <w:t xml:space="preserve">APA Referencing List</w:t>
      </w:r>
    </w:p>
    <w:p w:rsidR="00000000" w:rsidDel="00000000" w:rsidP="00000000" w:rsidRDefault="00000000" w:rsidRPr="00000000" w14:paraId="00000002">
      <w:pPr>
        <w:spacing w:line="240" w:lineRule="auto"/>
        <w:rPr>
          <w:sz w:val="24"/>
          <w:szCs w:val="24"/>
        </w:rPr>
      </w:pPr>
      <w:r w:rsidDel="00000000" w:rsidR="00000000" w:rsidRPr="00000000">
        <w:rPr>
          <w:b w:val="1"/>
          <w:sz w:val="24"/>
          <w:szCs w:val="24"/>
          <w:rtl w:val="0"/>
        </w:rPr>
        <w:t xml:space="preserve">[1]</w:t>
      </w:r>
      <w:r w:rsidDel="00000000" w:rsidR="00000000" w:rsidRPr="00000000">
        <w:rPr>
          <w:rtl w:val="0"/>
        </w:rPr>
      </w:r>
    </w:p>
    <w:p w:rsidR="00000000" w:rsidDel="00000000" w:rsidP="00000000" w:rsidRDefault="00000000" w:rsidRPr="00000000" w14:paraId="00000003">
      <w:pPr>
        <w:spacing w:line="240" w:lineRule="auto"/>
        <w:ind w:left="720" w:firstLine="0"/>
        <w:rPr>
          <w:sz w:val="24"/>
          <w:szCs w:val="24"/>
        </w:rPr>
      </w:pPr>
      <w:r w:rsidDel="00000000" w:rsidR="00000000" w:rsidRPr="00000000">
        <w:rPr>
          <w:sz w:val="24"/>
          <w:szCs w:val="24"/>
          <w:rtl w:val="0"/>
        </w:rPr>
        <w:t xml:space="preserve">Moore, A., Schirmer, J., Magnusson, A., Keller, K., Hinten, G., &amp; Woodhams, J. (2023, July). </w:t>
      </w:r>
      <w:r w:rsidDel="00000000" w:rsidR="00000000" w:rsidRPr="00000000">
        <w:rPr>
          <w:i w:val="1"/>
          <w:sz w:val="24"/>
          <w:szCs w:val="24"/>
          <w:rtl w:val="0"/>
        </w:rPr>
        <w:t xml:space="preserve">Social and Economic Survey of Recreational Fishers 2018-2021</w:t>
      </w:r>
      <w:r w:rsidDel="00000000" w:rsidR="00000000" w:rsidRPr="00000000">
        <w:rPr>
          <w:sz w:val="24"/>
          <w:szCs w:val="24"/>
          <w:rtl w:val="0"/>
        </w:rPr>
        <w:t xml:space="preserve"> </w:t>
      </w:r>
    </w:p>
    <w:p w:rsidR="00000000" w:rsidDel="00000000" w:rsidP="00000000" w:rsidRDefault="00000000" w:rsidRPr="00000000" w14:paraId="00000004">
      <w:pPr>
        <w:spacing w:line="240" w:lineRule="auto"/>
        <w:ind w:left="720" w:firstLine="0"/>
        <w:rPr>
          <w:sz w:val="24"/>
          <w:szCs w:val="24"/>
        </w:rPr>
      </w:pPr>
      <w:r w:rsidDel="00000000" w:rsidR="00000000" w:rsidRPr="00000000">
        <w:rPr>
          <w:sz w:val="24"/>
          <w:szCs w:val="24"/>
          <w:rtl w:val="0"/>
        </w:rPr>
        <w:t xml:space="preserve">[Review of </w:t>
      </w:r>
      <w:r w:rsidDel="00000000" w:rsidR="00000000" w:rsidRPr="00000000">
        <w:rPr>
          <w:i w:val="1"/>
          <w:sz w:val="24"/>
          <w:szCs w:val="24"/>
          <w:rtl w:val="0"/>
        </w:rPr>
        <w:t xml:space="preserve">Social and Economic Survey of Recreational Fishers 2018-2021</w:t>
      </w:r>
      <w:r w:rsidDel="00000000" w:rsidR="00000000" w:rsidRPr="00000000">
        <w:rPr>
          <w:sz w:val="24"/>
          <w:szCs w:val="24"/>
          <w:rtl w:val="0"/>
        </w:rPr>
        <w:t xml:space="preserve">]. Frdc.com.au; Fisheries Research and Development Corporation.</w:t>
      </w:r>
    </w:p>
    <w:p w:rsidR="00000000" w:rsidDel="00000000" w:rsidP="00000000" w:rsidRDefault="00000000" w:rsidRPr="00000000" w14:paraId="00000005">
      <w:pPr>
        <w:spacing w:line="240" w:lineRule="auto"/>
        <w:ind w:left="720" w:firstLine="0"/>
        <w:rPr>
          <w:sz w:val="24"/>
          <w:szCs w:val="24"/>
        </w:rPr>
      </w:pPr>
      <w:hyperlink r:id="rId6">
        <w:r w:rsidDel="00000000" w:rsidR="00000000" w:rsidRPr="00000000">
          <w:rPr>
            <w:color w:val="1155cc"/>
            <w:sz w:val="24"/>
            <w:szCs w:val="24"/>
            <w:u w:val="single"/>
            <w:rtl w:val="0"/>
          </w:rPr>
          <w:t xml:space="preserve">https://www.frdc.com.au/sites/default/files/2023-07/victoria_rec_fishing_survey_-_web.pdf</w:t>
        </w:r>
      </w:hyperlink>
      <w:r w:rsidDel="00000000" w:rsidR="00000000" w:rsidRPr="00000000">
        <w:rPr>
          <w:rtl w:val="0"/>
        </w:rPr>
      </w:r>
    </w:p>
    <w:p w:rsidR="00000000" w:rsidDel="00000000" w:rsidP="00000000" w:rsidRDefault="00000000" w:rsidRPr="00000000" w14:paraId="00000006">
      <w:pPr>
        <w:spacing w:after="240" w:before="240" w:line="240" w:lineRule="auto"/>
        <w:rPr>
          <w:sz w:val="24"/>
          <w:szCs w:val="24"/>
        </w:rPr>
      </w:pPr>
      <w:r w:rsidDel="00000000" w:rsidR="00000000" w:rsidRPr="00000000">
        <w:rPr>
          <w:sz w:val="24"/>
          <w:szCs w:val="24"/>
          <w:rtl w:val="0"/>
        </w:rPr>
        <w:t xml:space="preserve">Pg. </w:t>
      </w:r>
    </w:p>
    <w:p w:rsidR="00000000" w:rsidDel="00000000" w:rsidP="00000000" w:rsidRDefault="00000000" w:rsidRPr="00000000" w14:paraId="00000007">
      <w:pPr>
        <w:spacing w:after="240" w:before="240" w:line="240" w:lineRule="auto"/>
        <w:rPr>
          <w:sz w:val="24"/>
          <w:szCs w:val="24"/>
        </w:rPr>
      </w:pPr>
      <w:r w:rsidDel="00000000" w:rsidR="00000000" w:rsidRPr="00000000">
        <w:rPr>
          <w:sz w:val="24"/>
          <w:szCs w:val="24"/>
          <w:rtl w:val="0"/>
        </w:rPr>
        <w:t xml:space="preserve">4, “As of 2019-20, recreational fishing contributed just over $11 billion to the Australian economy, and over 100,000 jobs nationally.”</w:t>
      </w:r>
    </w:p>
    <w:p w:rsidR="00000000" w:rsidDel="00000000" w:rsidP="00000000" w:rsidRDefault="00000000" w:rsidRPr="00000000" w14:paraId="00000008">
      <w:pPr>
        <w:spacing w:after="240" w:before="240" w:line="240" w:lineRule="auto"/>
        <w:rPr>
          <w:sz w:val="24"/>
          <w:szCs w:val="24"/>
        </w:rPr>
      </w:pPr>
      <w:r w:rsidDel="00000000" w:rsidR="00000000" w:rsidRPr="00000000">
        <w:rPr>
          <w:sz w:val="24"/>
          <w:szCs w:val="24"/>
          <w:rtl w:val="0"/>
        </w:rPr>
        <w:t xml:space="preserve">5, “a total of 3.81 million fishing events. Victorian fishers are more likely to go fishing in freshwater areas than people in other parts of Australia”, </w:t>
        <w:tab/>
        <w:tab/>
        <w:tab/>
        <w:tab/>
        <w:tab/>
        <w:t xml:space="preserve">“findings highlight that Victoria’s young and urban residents are less likely to go fishing than their counterparts in other parts of Australia.” </w:t>
      </w:r>
    </w:p>
    <w:p w:rsidR="00000000" w:rsidDel="00000000" w:rsidP="00000000" w:rsidRDefault="00000000" w:rsidRPr="00000000" w14:paraId="00000009">
      <w:pPr>
        <w:spacing w:after="240" w:before="240" w:line="240" w:lineRule="auto"/>
        <w:rPr>
          <w:sz w:val="24"/>
          <w:szCs w:val="24"/>
        </w:rPr>
      </w:pPr>
      <w:r w:rsidDel="00000000" w:rsidR="00000000" w:rsidRPr="00000000">
        <w:rPr>
          <w:sz w:val="24"/>
          <w:szCs w:val="24"/>
          <w:rtl w:val="0"/>
        </w:rPr>
        <w:t xml:space="preserve">(Graph(s) on pg.5)</w:t>
      </w:r>
    </w:p>
    <w:p w:rsidR="00000000" w:rsidDel="00000000" w:rsidP="00000000" w:rsidRDefault="00000000" w:rsidRPr="00000000" w14:paraId="0000000A">
      <w:pPr>
        <w:spacing w:after="240" w:before="240" w:line="240" w:lineRule="auto"/>
        <w:rPr>
          <w:sz w:val="24"/>
          <w:szCs w:val="24"/>
        </w:rPr>
      </w:pPr>
      <w:r w:rsidDel="00000000" w:rsidR="00000000" w:rsidRPr="00000000">
        <w:rPr>
          <w:sz w:val="24"/>
          <w:szCs w:val="24"/>
          <w:rtl w:val="0"/>
        </w:rPr>
        <w:t xml:space="preserve">6, “Victorian’s spend an estimated 3.8 million days fishing each year”</w:t>
      </w:r>
    </w:p>
    <w:p w:rsidR="00000000" w:rsidDel="00000000" w:rsidP="00000000" w:rsidRDefault="00000000" w:rsidRPr="00000000" w14:paraId="0000000B">
      <w:pPr>
        <w:spacing w:after="240" w:before="240" w:line="240" w:lineRule="auto"/>
        <w:rPr>
          <w:sz w:val="24"/>
          <w:szCs w:val="24"/>
        </w:rPr>
      </w:pPr>
      <w:r w:rsidDel="00000000" w:rsidR="00000000" w:rsidRPr="00000000">
        <w:rPr>
          <w:sz w:val="24"/>
          <w:szCs w:val="24"/>
          <w:rtl w:val="0"/>
        </w:rPr>
        <w:t xml:space="preserve">(Graph on pg.6)</w:t>
      </w:r>
    </w:p>
    <w:p w:rsidR="00000000" w:rsidDel="00000000" w:rsidP="00000000" w:rsidRDefault="00000000" w:rsidRPr="00000000" w14:paraId="0000000C">
      <w:pPr>
        <w:spacing w:after="240" w:before="240" w:line="240" w:lineRule="auto"/>
        <w:rPr>
          <w:sz w:val="24"/>
          <w:szCs w:val="24"/>
        </w:rPr>
      </w:pPr>
      <w:r w:rsidDel="00000000" w:rsidR="00000000" w:rsidRPr="00000000">
        <w:rPr>
          <w:sz w:val="24"/>
          <w:szCs w:val="24"/>
          <w:rtl w:val="0"/>
        </w:rPr>
        <w:t xml:space="preserve">10, (Graph and annotation on pg.10)</w:t>
      </w:r>
    </w:p>
    <w:p w:rsidR="00000000" w:rsidDel="00000000" w:rsidP="00000000" w:rsidRDefault="00000000" w:rsidRPr="00000000" w14:paraId="0000000D">
      <w:pPr>
        <w:spacing w:after="240" w:before="240" w:line="240" w:lineRule="auto"/>
        <w:rPr>
          <w:sz w:val="24"/>
          <w:szCs w:val="24"/>
        </w:rPr>
      </w:pPr>
      <w:r w:rsidDel="00000000" w:rsidR="00000000" w:rsidRPr="00000000">
        <w:rPr>
          <w:sz w:val="24"/>
          <w:szCs w:val="24"/>
          <w:rtl w:val="0"/>
        </w:rPr>
        <w:t xml:space="preserve">11, (Graph and annotation on pg.10)</w:t>
      </w:r>
    </w:p>
    <w:p w:rsidR="00000000" w:rsidDel="00000000" w:rsidP="00000000" w:rsidRDefault="00000000" w:rsidRPr="00000000" w14:paraId="0000000E">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0">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rPr>
          <w:sz w:val="24"/>
          <w:szCs w:val="24"/>
        </w:rPr>
      </w:pPr>
      <w:r w:rsidDel="00000000" w:rsidR="00000000" w:rsidRPr="00000000">
        <w:rPr>
          <w:b w:val="1"/>
          <w:sz w:val="24"/>
          <w:szCs w:val="24"/>
          <w:rtl w:val="0"/>
        </w:rPr>
        <w:t xml:space="preserve">[2]</w:t>
      </w:r>
      <w:r w:rsidDel="00000000" w:rsidR="00000000" w:rsidRPr="00000000">
        <w:rPr>
          <w:rtl w:val="0"/>
        </w:rPr>
      </w:r>
    </w:p>
    <w:p w:rsidR="00000000" w:rsidDel="00000000" w:rsidP="00000000" w:rsidRDefault="00000000" w:rsidRPr="00000000" w14:paraId="00000020">
      <w:pPr>
        <w:spacing w:line="240" w:lineRule="auto"/>
        <w:ind w:left="720" w:firstLine="0"/>
        <w:rPr>
          <w:sz w:val="24"/>
          <w:szCs w:val="24"/>
        </w:rPr>
      </w:pPr>
      <w:r w:rsidDel="00000000" w:rsidR="00000000" w:rsidRPr="00000000">
        <w:rPr>
          <w:i w:val="1"/>
          <w:sz w:val="24"/>
          <w:szCs w:val="24"/>
          <w:rtl w:val="0"/>
        </w:rPr>
        <w:t xml:space="preserve">Fish Stock Assessments</w:t>
      </w:r>
      <w:r w:rsidDel="00000000" w:rsidR="00000000" w:rsidRPr="00000000">
        <w:rPr>
          <w:sz w:val="24"/>
          <w:szCs w:val="24"/>
          <w:rtl w:val="0"/>
        </w:rPr>
        <w:t xml:space="preserve">. (2025). VFA. </w:t>
      </w:r>
      <w:hyperlink r:id="rId7">
        <w:r w:rsidDel="00000000" w:rsidR="00000000" w:rsidRPr="00000000">
          <w:rPr>
            <w:color w:val="1155cc"/>
            <w:sz w:val="24"/>
            <w:szCs w:val="24"/>
            <w:u w:val="single"/>
            <w:rtl w:val="0"/>
          </w:rPr>
          <w:t xml:space="preserve">https://vfa.vic.gov.au/science-in-fisheries/featured/fish-stock-assessments</w:t>
        </w:r>
      </w:hyperlink>
      <w:r w:rsidDel="00000000" w:rsidR="00000000" w:rsidRPr="00000000">
        <w:rPr>
          <w:rtl w:val="0"/>
        </w:rPr>
      </w:r>
    </w:p>
    <w:p w:rsidR="00000000" w:rsidDel="00000000" w:rsidP="00000000" w:rsidRDefault="00000000" w:rsidRPr="00000000" w14:paraId="00000021">
      <w:pPr>
        <w:spacing w:after="240" w:before="240" w:line="240" w:lineRule="auto"/>
        <w:rPr>
          <w:sz w:val="24"/>
          <w:szCs w:val="24"/>
        </w:rPr>
      </w:pPr>
      <w:r w:rsidDel="00000000" w:rsidR="00000000" w:rsidRPr="00000000">
        <w:rPr>
          <w:sz w:val="24"/>
          <w:szCs w:val="24"/>
          <w:rtl w:val="0"/>
        </w:rPr>
        <w:t xml:space="preserve">(Snapper) Pg.</w:t>
      </w:r>
    </w:p>
    <w:p w:rsidR="00000000" w:rsidDel="00000000" w:rsidP="00000000" w:rsidRDefault="00000000" w:rsidRPr="00000000" w14:paraId="00000022">
      <w:pPr>
        <w:spacing w:after="240" w:before="240" w:line="240" w:lineRule="auto"/>
        <w:rPr>
          <w:sz w:val="24"/>
          <w:szCs w:val="24"/>
        </w:rPr>
      </w:pPr>
      <w:r w:rsidDel="00000000" w:rsidR="00000000" w:rsidRPr="00000000">
        <w:rPr>
          <w:sz w:val="24"/>
          <w:szCs w:val="24"/>
          <w:rtl w:val="0"/>
        </w:rPr>
        <w:t xml:space="preserve">2, (Graph and figure on pg.2)</w:t>
      </w:r>
    </w:p>
    <w:p w:rsidR="00000000" w:rsidDel="00000000" w:rsidP="00000000" w:rsidRDefault="00000000" w:rsidRPr="00000000" w14:paraId="00000023">
      <w:pPr>
        <w:spacing w:after="240" w:before="240" w:line="240" w:lineRule="auto"/>
        <w:rPr>
          <w:sz w:val="24"/>
          <w:szCs w:val="24"/>
        </w:rPr>
      </w:pPr>
      <w:r w:rsidDel="00000000" w:rsidR="00000000" w:rsidRPr="00000000">
        <w:rPr>
          <w:rFonts w:ascii="Arial Unicode MS" w:cs="Arial Unicode MS" w:eastAsia="Arial Unicode MS" w:hAnsi="Arial Unicode MS"/>
          <w:sz w:val="24"/>
          <w:szCs w:val="24"/>
          <w:rtl w:val="0"/>
        </w:rPr>
        <w:t xml:space="preserve">3, “most of the commercial harvests are from Port Phillip Bay and have dropped considerably from ~150 t in 2010−11”</w:t>
        <w:tab/>
        <w:tab/>
        <w:tab/>
        <w:tab/>
        <w:tab/>
        <w:tab/>
        <w:tab/>
        <w:tab/>
        <w:t xml:space="preserve">“Standardised CPUE of adult snapper taken by the commercial long-line fishery and recreational anglers… in Port Phillip Bay have decreased since their peaks a decade ago”</w:t>
      </w:r>
    </w:p>
    <w:p w:rsidR="00000000" w:rsidDel="00000000" w:rsidP="00000000" w:rsidRDefault="00000000" w:rsidRPr="00000000" w14:paraId="00000024">
      <w:pPr>
        <w:spacing w:after="240" w:before="240" w:line="240" w:lineRule="auto"/>
        <w:rPr>
          <w:sz w:val="24"/>
          <w:szCs w:val="24"/>
        </w:rPr>
      </w:pPr>
      <w:r w:rsidDel="00000000" w:rsidR="00000000" w:rsidRPr="00000000">
        <w:rPr>
          <w:sz w:val="24"/>
          <w:szCs w:val="24"/>
          <w:rtl w:val="0"/>
        </w:rPr>
        <w:t xml:space="preserve">4, (Graph and figure on pg.4)</w:t>
      </w:r>
    </w:p>
    <w:p w:rsidR="00000000" w:rsidDel="00000000" w:rsidP="00000000" w:rsidRDefault="00000000" w:rsidRPr="00000000" w14:paraId="00000025">
      <w:pPr>
        <w:spacing w:after="240" w:before="240" w:line="240" w:lineRule="auto"/>
        <w:rPr>
          <w:sz w:val="24"/>
          <w:szCs w:val="24"/>
        </w:rPr>
      </w:pPr>
      <w:r w:rsidDel="00000000" w:rsidR="00000000" w:rsidRPr="00000000">
        <w:rPr>
          <w:sz w:val="24"/>
          <w:szCs w:val="24"/>
          <w:rtl w:val="0"/>
        </w:rPr>
        <w:t xml:space="preserve">5, (Graph(s) and figure(s) on pg.5)</w:t>
      </w:r>
    </w:p>
    <w:p w:rsidR="00000000" w:rsidDel="00000000" w:rsidP="00000000" w:rsidRDefault="00000000" w:rsidRPr="00000000" w14:paraId="00000026">
      <w:pPr>
        <w:spacing w:after="240" w:before="240" w:line="240" w:lineRule="auto"/>
        <w:rPr>
          <w:sz w:val="24"/>
          <w:szCs w:val="24"/>
        </w:rPr>
      </w:pPr>
      <w:r w:rsidDel="00000000" w:rsidR="00000000" w:rsidRPr="00000000">
        <w:rPr>
          <w:sz w:val="24"/>
          <w:szCs w:val="24"/>
          <w:rtl w:val="0"/>
        </w:rPr>
        <w:t xml:space="preserve">(Murray cod) Pg.</w:t>
      </w:r>
    </w:p>
    <w:p w:rsidR="00000000" w:rsidDel="00000000" w:rsidP="00000000" w:rsidRDefault="00000000" w:rsidRPr="00000000" w14:paraId="00000027">
      <w:pPr>
        <w:spacing w:after="240" w:before="240" w:line="240" w:lineRule="auto"/>
        <w:rPr>
          <w:sz w:val="24"/>
          <w:szCs w:val="24"/>
        </w:rPr>
      </w:pPr>
      <w:r w:rsidDel="00000000" w:rsidR="00000000" w:rsidRPr="00000000">
        <w:rPr>
          <w:sz w:val="24"/>
          <w:szCs w:val="24"/>
          <w:rtl w:val="0"/>
        </w:rPr>
        <w:t xml:space="preserve">1, (Graph and figure on pg.1)</w:t>
      </w:r>
    </w:p>
    <w:p w:rsidR="00000000" w:rsidDel="00000000" w:rsidP="00000000" w:rsidRDefault="00000000" w:rsidRPr="00000000" w14:paraId="00000028">
      <w:pPr>
        <w:spacing w:after="240" w:before="240" w:line="240" w:lineRule="auto"/>
        <w:rPr>
          <w:sz w:val="24"/>
          <w:szCs w:val="24"/>
        </w:rPr>
      </w:pPr>
      <w:r w:rsidDel="00000000" w:rsidR="00000000" w:rsidRPr="00000000">
        <w:rPr>
          <w:sz w:val="24"/>
          <w:szCs w:val="24"/>
          <w:rtl w:val="0"/>
        </w:rPr>
        <w:t xml:space="preserve">“...commercial harvest of Murray cod in Victoria ceased in 2001. There is no recent information on recreational harvest or effort at state level.”</w:t>
        <w:tab/>
        <w:tab/>
        <w:tab/>
        <w:tab/>
        <w:tab/>
        <w:t xml:space="preserve">“...Since about 2014–2015 CPUE appears to have increased relative to the reference period in most indicator rivers...“</w:t>
      </w:r>
    </w:p>
    <w:p w:rsidR="00000000" w:rsidDel="00000000" w:rsidP="00000000" w:rsidRDefault="00000000" w:rsidRPr="00000000" w14:paraId="00000029">
      <w:pPr>
        <w:spacing w:after="240" w:before="240" w:line="240" w:lineRule="auto"/>
        <w:rPr>
          <w:sz w:val="24"/>
          <w:szCs w:val="24"/>
        </w:rPr>
      </w:pPr>
      <w:r w:rsidDel="00000000" w:rsidR="00000000" w:rsidRPr="00000000">
        <w:rPr>
          <w:sz w:val="24"/>
          <w:szCs w:val="24"/>
          <w:rtl w:val="0"/>
        </w:rPr>
        <w:t xml:space="preserve">(Longfin Eel) Pg.</w:t>
      </w:r>
    </w:p>
    <w:p w:rsidR="00000000" w:rsidDel="00000000" w:rsidP="00000000" w:rsidRDefault="00000000" w:rsidRPr="00000000" w14:paraId="0000002A">
      <w:pPr>
        <w:spacing w:after="240" w:before="240" w:line="240" w:lineRule="auto"/>
        <w:rPr>
          <w:sz w:val="24"/>
          <w:szCs w:val="24"/>
        </w:rPr>
      </w:pPr>
      <w:r w:rsidDel="00000000" w:rsidR="00000000" w:rsidRPr="00000000">
        <w:rPr>
          <w:sz w:val="24"/>
          <w:szCs w:val="24"/>
          <w:rtl w:val="0"/>
        </w:rPr>
        <w:t xml:space="preserve">2, “Despite strong environmental drivers that can severely reduce productivity, the Victorian Longfin Eel fishery is well-managed… openings to the sea are closed to commercial fishing.”</w:t>
      </w:r>
      <w:r w:rsidDel="00000000" w:rsidR="00000000" w:rsidRPr="00000000">
        <w:rPr>
          <w:rtl w:val="0"/>
        </w:rPr>
      </w:r>
    </w:p>
    <w:p w:rsidR="00000000" w:rsidDel="00000000" w:rsidP="00000000" w:rsidRDefault="00000000" w:rsidRPr="00000000" w14:paraId="0000002B">
      <w:pPr>
        <w:spacing w:after="240" w:before="24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2C">
      <w:pPr>
        <w:spacing w:after="240" w:before="24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2D">
      <w:pPr>
        <w:spacing w:after="240" w:before="24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2E">
      <w:pPr>
        <w:spacing w:after="240" w:before="24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2">
      <w:pPr>
        <w:spacing w:after="240" w:before="24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ind w:left="0" w:firstLine="0"/>
        <w:rPr>
          <w:sz w:val="24"/>
          <w:szCs w:val="24"/>
        </w:rPr>
      </w:pPr>
      <w:r w:rsidDel="00000000" w:rsidR="00000000" w:rsidRPr="00000000">
        <w:rPr>
          <w:b w:val="1"/>
          <w:sz w:val="24"/>
          <w:szCs w:val="24"/>
          <w:rtl w:val="0"/>
        </w:rPr>
        <w:t xml:space="preserve">[3]</w:t>
      </w:r>
      <w:r w:rsidDel="00000000" w:rsidR="00000000" w:rsidRPr="00000000">
        <w:rPr>
          <w:rtl w:val="0"/>
        </w:rPr>
      </w:r>
    </w:p>
    <w:p w:rsidR="00000000" w:rsidDel="00000000" w:rsidP="00000000" w:rsidRDefault="00000000" w:rsidRPr="00000000" w14:paraId="00000034">
      <w:pPr>
        <w:spacing w:after="240" w:before="240" w:line="240" w:lineRule="auto"/>
        <w:ind w:left="720" w:firstLine="0"/>
        <w:rPr>
          <w:sz w:val="24"/>
          <w:szCs w:val="24"/>
        </w:rPr>
      </w:pPr>
      <w:r w:rsidDel="00000000" w:rsidR="00000000" w:rsidRPr="00000000">
        <w:rPr>
          <w:i w:val="1"/>
          <w:sz w:val="24"/>
          <w:szCs w:val="24"/>
          <w:rtl w:val="0"/>
        </w:rPr>
        <w:t xml:space="preserve">Check air and water quality</w:t>
      </w:r>
      <w:r w:rsidDel="00000000" w:rsidR="00000000" w:rsidRPr="00000000">
        <w:rPr>
          <w:sz w:val="24"/>
          <w:szCs w:val="24"/>
          <w:rtl w:val="0"/>
        </w:rPr>
        <w:t xml:space="preserve">. (2025, May 29). Vic.gov.au. </w:t>
      </w:r>
      <w:hyperlink r:id="rId8">
        <w:r w:rsidDel="00000000" w:rsidR="00000000" w:rsidRPr="00000000">
          <w:rPr>
            <w:color w:val="1155cc"/>
            <w:sz w:val="24"/>
            <w:szCs w:val="24"/>
            <w:u w:val="single"/>
            <w:rtl w:val="0"/>
          </w:rPr>
          <w:t xml:space="preserve">https://www.epa.vic.gov.au/check-air-and-water-quality</w:t>
        </w:r>
      </w:hyperlink>
      <w:r w:rsidDel="00000000" w:rsidR="00000000" w:rsidRPr="00000000">
        <w:rPr>
          <w:rtl w:val="0"/>
        </w:rPr>
      </w:r>
    </w:p>
    <w:p w:rsidR="00000000" w:rsidDel="00000000" w:rsidP="00000000" w:rsidRDefault="00000000" w:rsidRPr="00000000" w14:paraId="00000035">
      <w:pPr>
        <w:spacing w:after="240" w:before="240" w:line="240" w:lineRule="auto"/>
        <w:rPr>
          <w:sz w:val="24"/>
          <w:szCs w:val="24"/>
        </w:rPr>
      </w:pPr>
      <w:r w:rsidDel="00000000" w:rsidR="00000000" w:rsidRPr="00000000">
        <w:rPr>
          <w:sz w:val="24"/>
          <w:szCs w:val="24"/>
          <w:rtl w:val="0"/>
        </w:rPr>
        <w:t xml:space="preserve">(Not any “pages”, just listing here as it provides me with a roughly accurate data entry for each location, in case I have to reference it anywhere)</w:t>
      </w:r>
    </w:p>
    <w:p w:rsidR="00000000" w:rsidDel="00000000" w:rsidP="00000000" w:rsidRDefault="00000000" w:rsidRPr="00000000" w14:paraId="00000036">
      <w:pPr>
        <w:spacing w:after="240" w:before="240" w:line="240" w:lineRule="auto"/>
        <w:rPr>
          <w:sz w:val="24"/>
          <w:szCs w:val="24"/>
        </w:rPr>
      </w:pPr>
      <w:r w:rsidDel="00000000" w:rsidR="00000000" w:rsidRPr="00000000">
        <w:rPr>
          <w:b w:val="1"/>
          <w:sz w:val="24"/>
          <w:szCs w:val="24"/>
          <w:rtl w:val="0"/>
        </w:rPr>
        <w:t xml:space="preserve">[4]</w:t>
      </w:r>
      <w:r w:rsidDel="00000000" w:rsidR="00000000" w:rsidRPr="00000000">
        <w:rPr>
          <w:rtl w:val="0"/>
        </w:rPr>
      </w:r>
    </w:p>
    <w:p w:rsidR="00000000" w:rsidDel="00000000" w:rsidP="00000000" w:rsidRDefault="00000000" w:rsidRPr="00000000" w14:paraId="00000037">
      <w:pPr>
        <w:spacing w:after="240" w:before="240" w:line="240" w:lineRule="auto"/>
        <w:ind w:left="720" w:firstLine="0"/>
        <w:rPr>
          <w:sz w:val="24"/>
          <w:szCs w:val="24"/>
        </w:rPr>
      </w:pPr>
      <w:r w:rsidDel="00000000" w:rsidR="00000000" w:rsidRPr="00000000">
        <w:rPr>
          <w:sz w:val="24"/>
          <w:szCs w:val="24"/>
          <w:rtl w:val="0"/>
        </w:rPr>
        <w:t xml:space="preserve">Victorian Biodiversity Atlas. (n.d.). Vba.biodiversity.vic.gov.au. </w:t>
      </w:r>
      <w:hyperlink r:id="rId9">
        <w:r w:rsidDel="00000000" w:rsidR="00000000" w:rsidRPr="00000000">
          <w:rPr>
            <w:color w:val="1155cc"/>
            <w:sz w:val="24"/>
            <w:szCs w:val="24"/>
            <w:u w:val="single"/>
            <w:rtl w:val="0"/>
          </w:rPr>
          <w:t xml:space="preserve">https://vba.biodiversity.vic.gov.au/vba/index.jsp</w:t>
        </w:r>
      </w:hyperlink>
      <w:r w:rsidDel="00000000" w:rsidR="00000000" w:rsidRPr="00000000">
        <w:rPr>
          <w:rtl w:val="0"/>
        </w:rPr>
      </w:r>
    </w:p>
    <w:p w:rsidR="00000000" w:rsidDel="00000000" w:rsidP="00000000" w:rsidRDefault="00000000" w:rsidRPr="00000000" w14:paraId="00000038">
      <w:pPr>
        <w:spacing w:after="240" w:before="240" w:line="240" w:lineRule="auto"/>
        <w:rPr>
          <w:sz w:val="24"/>
          <w:szCs w:val="24"/>
        </w:rPr>
      </w:pPr>
      <w:r w:rsidDel="00000000" w:rsidR="00000000" w:rsidRPr="00000000">
        <w:rPr>
          <w:sz w:val="24"/>
          <w:szCs w:val="24"/>
          <w:rtl w:val="0"/>
        </w:rPr>
        <w:t xml:space="preserve">(Same here)</w:t>
      </w:r>
    </w:p>
    <w:p w:rsidR="00000000" w:rsidDel="00000000" w:rsidP="00000000" w:rsidRDefault="00000000" w:rsidRPr="00000000" w14:paraId="00000039">
      <w:pPr>
        <w:spacing w:after="240" w:before="240" w:line="240" w:lineRule="auto"/>
        <w:rPr>
          <w:sz w:val="24"/>
          <w:szCs w:val="24"/>
        </w:rPr>
      </w:pPr>
      <w:r w:rsidDel="00000000" w:rsidR="00000000" w:rsidRPr="00000000">
        <w:rPr>
          <w:b w:val="1"/>
          <w:sz w:val="24"/>
          <w:szCs w:val="24"/>
          <w:rtl w:val="0"/>
        </w:rPr>
        <w:t xml:space="preserve">[5]</w:t>
      </w:r>
      <w:r w:rsidDel="00000000" w:rsidR="00000000" w:rsidRPr="00000000">
        <w:rPr>
          <w:rtl w:val="0"/>
        </w:rPr>
      </w:r>
    </w:p>
    <w:p w:rsidR="00000000" w:rsidDel="00000000" w:rsidP="00000000" w:rsidRDefault="00000000" w:rsidRPr="00000000" w14:paraId="0000003A">
      <w:pPr>
        <w:spacing w:after="240" w:before="240" w:line="240" w:lineRule="auto"/>
        <w:ind w:left="720" w:firstLine="0"/>
        <w:rPr>
          <w:sz w:val="24"/>
          <w:szCs w:val="24"/>
        </w:rPr>
      </w:pPr>
      <w:r w:rsidDel="00000000" w:rsidR="00000000" w:rsidRPr="00000000">
        <w:rPr>
          <w:sz w:val="24"/>
          <w:szCs w:val="24"/>
          <w:rtl w:val="0"/>
        </w:rPr>
        <w:t xml:space="preserve">Yao, H., Zhuang, W., Qian, Y., Xia, B., Yang, Y., &amp; Qian, X. (2016). Estimating and Predicting Metal Concentration Using Online Turbidity Values and Water Quality Models in Two Rivers of the Taihu Basin, Eastern China. PLOS ONE, 11(3), e0152491. </w:t>
      </w:r>
    </w:p>
    <w:p w:rsidR="00000000" w:rsidDel="00000000" w:rsidP="00000000" w:rsidRDefault="00000000" w:rsidRPr="00000000" w14:paraId="0000003B">
      <w:pPr>
        <w:spacing w:after="240" w:before="240" w:line="240" w:lineRule="auto"/>
        <w:ind w:left="720" w:firstLine="0"/>
        <w:rPr>
          <w:sz w:val="24"/>
          <w:szCs w:val="24"/>
        </w:rPr>
      </w:pPr>
      <w:hyperlink r:id="rId10">
        <w:r w:rsidDel="00000000" w:rsidR="00000000" w:rsidRPr="00000000">
          <w:rPr>
            <w:color w:val="1155cc"/>
            <w:sz w:val="24"/>
            <w:szCs w:val="24"/>
            <w:u w:val="single"/>
            <w:rtl w:val="0"/>
          </w:rPr>
          <w:t xml:space="preserve">https://doi.org/10.1371/journal.pone.0152491</w:t>
        </w:r>
      </w:hyperlink>
      <w:r w:rsidDel="00000000" w:rsidR="00000000" w:rsidRPr="00000000">
        <w:rPr>
          <w:rtl w:val="0"/>
        </w:rPr>
      </w:r>
    </w:p>
    <w:p w:rsidR="00000000" w:rsidDel="00000000" w:rsidP="00000000" w:rsidRDefault="00000000" w:rsidRPr="00000000" w14:paraId="0000003C">
      <w:pPr>
        <w:spacing w:after="240" w:before="240" w:line="240" w:lineRule="auto"/>
        <w:rPr>
          <w:sz w:val="24"/>
          <w:szCs w:val="24"/>
        </w:rPr>
      </w:pPr>
      <w:r w:rsidDel="00000000" w:rsidR="00000000" w:rsidRPr="00000000">
        <w:rPr>
          <w:sz w:val="24"/>
          <w:szCs w:val="24"/>
          <w:rtl w:val="0"/>
        </w:rPr>
        <w:t xml:space="preserve">(doesn't have page structure)</w:t>
      </w:r>
    </w:p>
    <w:p w:rsidR="00000000" w:rsidDel="00000000" w:rsidP="00000000" w:rsidRDefault="00000000" w:rsidRPr="00000000" w14:paraId="0000003D">
      <w:pPr>
        <w:spacing w:after="240" w:before="240" w:line="240" w:lineRule="auto"/>
        <w:rPr>
          <w:sz w:val="24"/>
          <w:szCs w:val="24"/>
        </w:rPr>
      </w:pPr>
      <w:r w:rsidDel="00000000" w:rsidR="00000000" w:rsidRPr="00000000">
        <w:rPr>
          <w:sz w:val="24"/>
          <w:szCs w:val="24"/>
          <w:rtl w:val="0"/>
        </w:rPr>
        <w:t xml:space="preserve">(Fig.3)</w:t>
      </w:r>
    </w:p>
    <w:p w:rsidR="00000000" w:rsidDel="00000000" w:rsidP="00000000" w:rsidRDefault="00000000" w:rsidRPr="00000000" w14:paraId="0000003E">
      <w:pPr>
        <w:spacing w:after="240" w:before="240" w:line="240" w:lineRule="auto"/>
        <w:rPr>
          <w:sz w:val="24"/>
          <w:szCs w:val="24"/>
        </w:rPr>
      </w:pPr>
      <w:r w:rsidDel="00000000" w:rsidR="00000000" w:rsidRPr="00000000">
        <w:rPr>
          <w:sz w:val="24"/>
          <w:szCs w:val="24"/>
          <w:rtl w:val="0"/>
        </w:rPr>
        <w:t xml:space="preserve">“The concentrations of the five metals fit well with the turbidity values… All presented good linear relationship, leading to the conclusion that the occurrence of the five metals are directly related to suspended solids”</w:t>
        <w:tab/>
        <w:tab/>
        <w:tab/>
        <w:tab/>
        <w:tab/>
        <w:tab/>
        <w:tab/>
        <w:tab/>
        <w:t xml:space="preserve">“Turbidity is strongly influenced by the properties of transported sediment, such as shape, size, and mineral composition”</w:t>
      </w:r>
    </w:p>
    <w:p w:rsidR="00000000" w:rsidDel="00000000" w:rsidP="00000000" w:rsidRDefault="00000000" w:rsidRPr="00000000" w14:paraId="0000003F">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4">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240" w:lineRule="auto"/>
        <w:rPr>
          <w:sz w:val="24"/>
          <w:szCs w:val="24"/>
        </w:rPr>
      </w:pP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14:paraId="00000048">
      <w:pPr>
        <w:spacing w:after="240" w:before="240" w:line="240" w:lineRule="auto"/>
        <w:ind w:left="720" w:firstLine="0"/>
        <w:rPr>
          <w:sz w:val="24"/>
          <w:szCs w:val="24"/>
        </w:rPr>
      </w:pPr>
      <w:r w:rsidDel="00000000" w:rsidR="00000000" w:rsidRPr="00000000">
        <w:rPr>
          <w:sz w:val="24"/>
          <w:szCs w:val="24"/>
          <w:rtl w:val="0"/>
        </w:rPr>
        <w:t xml:space="preserve">Fondriest Environmental, Inc. (2014, June 13). Turbidity, Total Suspended Solids &amp; Water Clarity - Environmental Measurement Systems. Environmental Measurement Systems. </w:t>
      </w:r>
      <w:hyperlink r:id="rId11">
        <w:r w:rsidDel="00000000" w:rsidR="00000000" w:rsidRPr="00000000">
          <w:rPr>
            <w:color w:val="1155cc"/>
            <w:sz w:val="24"/>
            <w:szCs w:val="24"/>
            <w:u w:val="single"/>
            <w:rtl w:val="0"/>
          </w:rPr>
          <w:t xml:space="preserve">https://www.fondriest.com/environmental-measurements/parameters/water-quality/turbidity-total-suspended-solids-water-clarity/</w:t>
        </w:r>
      </w:hyperlink>
      <w:r w:rsidDel="00000000" w:rsidR="00000000" w:rsidRPr="00000000">
        <w:rPr>
          <w:rtl w:val="0"/>
        </w:rPr>
      </w:r>
    </w:p>
    <w:p w:rsidR="00000000" w:rsidDel="00000000" w:rsidP="00000000" w:rsidRDefault="00000000" w:rsidRPr="00000000" w14:paraId="00000049">
      <w:pPr>
        <w:spacing w:after="240" w:before="240" w:line="240" w:lineRule="auto"/>
        <w:rPr>
          <w:sz w:val="24"/>
          <w:szCs w:val="24"/>
        </w:rPr>
      </w:pPr>
      <w:r w:rsidDel="00000000" w:rsidR="00000000" w:rsidRPr="00000000">
        <w:rPr>
          <w:sz w:val="24"/>
          <w:szCs w:val="24"/>
          <w:rtl w:val="0"/>
        </w:rPr>
        <w:t xml:space="preserve">(doesn't have page structure)</w:t>
      </w:r>
    </w:p>
    <w:p w:rsidR="00000000" w:rsidDel="00000000" w:rsidP="00000000" w:rsidRDefault="00000000" w:rsidRPr="00000000" w14:paraId="0000004A">
      <w:pPr>
        <w:spacing w:after="240" w:before="240" w:line="240" w:lineRule="auto"/>
        <w:rPr>
          <w:sz w:val="24"/>
          <w:szCs w:val="24"/>
        </w:rPr>
      </w:pPr>
      <w:r w:rsidDel="00000000" w:rsidR="00000000" w:rsidRPr="00000000">
        <w:rPr>
          <w:sz w:val="24"/>
          <w:szCs w:val="24"/>
          <w:rtl w:val="0"/>
        </w:rPr>
        <w:t xml:space="preserve">“Pollutants such as dissolved metals and pathogens can attach to suspended particles and enter the water”</w:t>
        <w:tab/>
        <w:tab/>
        <w:tab/>
        <w:tab/>
        <w:tab/>
        <w:tab/>
        <w:tab/>
        <w:tab/>
        <w:tab/>
        <w:tab/>
        <w:tab/>
        <w:t xml:space="preserve">“When the suspended solids concentration is due to organic materials, particularly sewage effluent and decaying organic matter,... These organic suspended solids are also more likely to decrease dissolved oxygen levels as they are decomposed”</w:t>
      </w:r>
    </w:p>
    <w:p w:rsidR="00000000" w:rsidDel="00000000" w:rsidP="00000000" w:rsidRDefault="00000000" w:rsidRPr="00000000" w14:paraId="0000004B">
      <w:pPr>
        <w:spacing w:after="240" w:before="240" w:line="240" w:lineRule="auto"/>
        <w:rPr>
          <w:sz w:val="24"/>
          <w:szCs w:val="24"/>
        </w:rPr>
      </w:pPr>
      <w:r w:rsidDel="00000000" w:rsidR="00000000" w:rsidRPr="00000000">
        <w:rPr>
          <w:sz w:val="24"/>
          <w:szCs w:val="24"/>
          <w:rtl w:val="0"/>
        </w:rPr>
        <w:t xml:space="preserve">Fig.1 </w:t>
      </w:r>
      <w:r w:rsidDel="00000000" w:rsidR="00000000" w:rsidRPr="00000000">
        <w:rPr>
          <w:sz w:val="24"/>
          <w:szCs w:val="24"/>
        </w:rPr>
        <w:drawing>
          <wp:inline distB="114300" distT="114300" distL="114300" distR="114300">
            <wp:extent cx="3157389" cy="2107557"/>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57389" cy="2107557"/>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4C">
      <w:pPr>
        <w:spacing w:after="240" w:before="240" w:line="240" w:lineRule="auto"/>
        <w:rPr>
          <w:sz w:val="24"/>
          <w:szCs w:val="24"/>
        </w:rPr>
      </w:pPr>
      <w:r w:rsidDel="00000000" w:rsidR="00000000" w:rsidRPr="00000000">
        <w:rPr>
          <w:sz w:val="24"/>
          <w:szCs w:val="24"/>
          <w:rtl w:val="0"/>
        </w:rPr>
        <w:t xml:space="preserve">Tannin vegetation giving the water it’s murky red colour.</w:t>
      </w:r>
    </w:p>
    <w:p w:rsidR="00000000" w:rsidDel="00000000" w:rsidP="00000000" w:rsidRDefault="00000000" w:rsidRPr="00000000" w14:paraId="0000004D">
      <w:pPr>
        <w:spacing w:after="240" w:before="240" w:line="240" w:lineRule="auto"/>
        <w:rPr>
          <w:sz w:val="24"/>
          <w:szCs w:val="24"/>
        </w:rPr>
      </w:pPr>
      <w:r w:rsidDel="00000000" w:rsidR="00000000" w:rsidRPr="00000000">
        <w:rPr>
          <w:sz w:val="24"/>
          <w:szCs w:val="24"/>
          <w:rtl w:val="0"/>
        </w:rPr>
        <w:t xml:space="preserve">Fig.3</w:t>
      </w:r>
      <w:r w:rsidDel="00000000" w:rsidR="00000000" w:rsidRPr="00000000">
        <w:rPr>
          <w:sz w:val="24"/>
          <w:szCs w:val="24"/>
        </w:rPr>
        <w:drawing>
          <wp:inline distB="114300" distT="114300" distL="114300" distR="114300">
            <wp:extent cx="3190205" cy="219956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90205" cy="21995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240" w:lineRule="auto"/>
        <w:rPr>
          <w:sz w:val="24"/>
          <w:szCs w:val="24"/>
        </w:rPr>
      </w:pPr>
      <w:r w:rsidDel="00000000" w:rsidR="00000000" w:rsidRPr="00000000">
        <w:rPr>
          <w:sz w:val="24"/>
          <w:szCs w:val="24"/>
          <w:rtl w:val="0"/>
        </w:rPr>
        <w:t xml:space="preserve">Salt ions can cause suspended particle to aggregate and settle at the bottom of a body of water.</w:t>
      </w:r>
    </w:p>
    <w:p w:rsidR="00000000" w:rsidDel="00000000" w:rsidP="00000000" w:rsidRDefault="00000000" w:rsidRPr="00000000" w14:paraId="0000004F">
      <w:pPr>
        <w:spacing w:after="240" w:before="240" w:line="240" w:lineRule="auto"/>
        <w:rPr>
          <w:b w:val="1"/>
          <w:sz w:val="24"/>
          <w:szCs w:val="24"/>
        </w:rPr>
      </w:pPr>
      <w:r w:rsidDel="00000000" w:rsidR="00000000" w:rsidRPr="00000000">
        <w:rPr>
          <w:b w:val="1"/>
          <w:sz w:val="24"/>
          <w:szCs w:val="24"/>
          <w:rtl w:val="0"/>
        </w:rPr>
        <w:t xml:space="preserve">[7]</w:t>
      </w:r>
    </w:p>
    <w:p w:rsidR="00000000" w:rsidDel="00000000" w:rsidP="00000000" w:rsidRDefault="00000000" w:rsidRPr="00000000" w14:paraId="00000050">
      <w:pPr>
        <w:spacing w:after="240" w:before="240" w:line="240" w:lineRule="auto"/>
        <w:ind w:left="720" w:firstLine="0"/>
        <w:rPr>
          <w:sz w:val="24"/>
          <w:szCs w:val="24"/>
        </w:rPr>
      </w:pPr>
      <w:r w:rsidDel="00000000" w:rsidR="00000000" w:rsidRPr="00000000">
        <w:rPr>
          <w:sz w:val="24"/>
          <w:szCs w:val="24"/>
          <w:rtl w:val="0"/>
        </w:rPr>
        <w:t xml:space="preserve">Shaalan, W. M. (2024). Hazardous effects of heavy metal pollution on Nile tilapia in the aquatic ecosystem of the Eastern Delta in Egypt. BMC Veterinary Research, 20(1). </w:t>
      </w:r>
    </w:p>
    <w:p w:rsidR="00000000" w:rsidDel="00000000" w:rsidP="00000000" w:rsidRDefault="00000000" w:rsidRPr="00000000" w14:paraId="00000051">
      <w:pPr>
        <w:spacing w:after="240" w:before="240" w:line="240" w:lineRule="auto"/>
        <w:ind w:left="720" w:firstLine="0"/>
        <w:rPr>
          <w:sz w:val="24"/>
          <w:szCs w:val="24"/>
        </w:rPr>
      </w:pPr>
      <w:hyperlink r:id="rId14">
        <w:r w:rsidDel="00000000" w:rsidR="00000000" w:rsidRPr="00000000">
          <w:rPr>
            <w:color w:val="1155cc"/>
            <w:sz w:val="24"/>
            <w:szCs w:val="24"/>
            <w:u w:val="single"/>
            <w:rtl w:val="0"/>
          </w:rPr>
          <w:t xml:space="preserve">https://doi.org/10.1186/s12917-024-04367-3</w:t>
        </w:r>
      </w:hyperlink>
      <w:r w:rsidDel="00000000" w:rsidR="00000000" w:rsidRPr="00000000">
        <w:rPr>
          <w:rtl w:val="0"/>
        </w:rPr>
      </w:r>
    </w:p>
    <w:p w:rsidR="00000000" w:rsidDel="00000000" w:rsidP="00000000" w:rsidRDefault="00000000" w:rsidRPr="00000000" w14:paraId="00000052">
      <w:pPr>
        <w:spacing w:after="240" w:before="240" w:line="240" w:lineRule="auto"/>
        <w:rPr>
          <w:sz w:val="24"/>
          <w:szCs w:val="24"/>
        </w:rPr>
      </w:pPr>
      <w:r w:rsidDel="00000000" w:rsidR="00000000" w:rsidRPr="00000000">
        <w:rPr>
          <w:sz w:val="24"/>
          <w:szCs w:val="24"/>
          <w:rtl w:val="0"/>
        </w:rPr>
        <w:t xml:space="preserve">(doesn't have page structure)</w:t>
      </w:r>
    </w:p>
    <w:p w:rsidR="00000000" w:rsidDel="00000000" w:rsidP="00000000" w:rsidRDefault="00000000" w:rsidRPr="00000000" w14:paraId="00000053">
      <w:pPr>
        <w:spacing w:after="240" w:before="240" w:line="240" w:lineRule="auto"/>
        <w:rPr>
          <w:sz w:val="24"/>
          <w:szCs w:val="24"/>
        </w:rPr>
      </w:pPr>
      <w:r w:rsidDel="00000000" w:rsidR="00000000" w:rsidRPr="00000000">
        <w:rPr>
          <w:sz w:val="24"/>
          <w:szCs w:val="24"/>
          <w:rtl w:val="0"/>
        </w:rPr>
        <w:t xml:space="preserve">(Fig.1)</w:t>
      </w:r>
      <w:r w:rsidDel="00000000" w:rsidR="00000000" w:rsidRPr="00000000">
        <w:rPr>
          <w:sz w:val="24"/>
          <w:szCs w:val="24"/>
        </w:rPr>
        <w:drawing>
          <wp:inline distB="114300" distT="114300" distL="114300" distR="114300">
            <wp:extent cx="2927816" cy="2001292"/>
            <wp:effectExtent b="0" l="0" r="0" t="0"/>
            <wp:docPr id="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2927816" cy="200129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240" w:lineRule="auto"/>
        <w:rPr>
          <w:sz w:val="24"/>
          <w:szCs w:val="24"/>
        </w:rPr>
      </w:pPr>
      <w:r w:rsidDel="00000000" w:rsidR="00000000" w:rsidRPr="00000000">
        <w:rPr>
          <w:sz w:val="24"/>
          <w:szCs w:val="24"/>
          <w:rtl w:val="0"/>
        </w:rPr>
        <w:t xml:space="preserve">(Fig.2)</w:t>
      </w:r>
      <w:r w:rsidDel="00000000" w:rsidR="00000000" w:rsidRPr="00000000">
        <w:rPr>
          <w:sz w:val="24"/>
          <w:szCs w:val="24"/>
        </w:rPr>
        <w:drawing>
          <wp:inline distB="114300" distT="114300" distL="114300" distR="114300">
            <wp:extent cx="3357563" cy="2130761"/>
            <wp:effectExtent b="0" l="0" r="0" t="0"/>
            <wp:docPr id="3" name="image3.gif"/>
            <a:graphic>
              <a:graphicData uri="http://schemas.openxmlformats.org/drawingml/2006/picture">
                <pic:pic>
                  <pic:nvPicPr>
                    <pic:cNvPr id="0" name="image3.gif"/>
                    <pic:cNvPicPr preferRelativeResize="0"/>
                  </pic:nvPicPr>
                  <pic:blipFill>
                    <a:blip r:embed="rId16"/>
                    <a:srcRect b="0" l="0" r="0" t="0"/>
                    <a:stretch>
                      <a:fillRect/>
                    </a:stretch>
                  </pic:blipFill>
                  <pic:spPr>
                    <a:xfrm>
                      <a:off x="0" y="0"/>
                      <a:ext cx="3357563" cy="213076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240" w:lineRule="auto"/>
        <w:rPr>
          <w:sz w:val="24"/>
          <w:szCs w:val="24"/>
        </w:rPr>
      </w:pPr>
      <w:r w:rsidDel="00000000" w:rsidR="00000000" w:rsidRPr="00000000">
        <w:rPr>
          <w:sz w:val="24"/>
          <w:szCs w:val="24"/>
          <w:rtl w:val="0"/>
        </w:rPr>
        <w:t xml:space="preserve">“Tilapia from the Damietta branch exhibited significant tissue damage in the body…, indicating potential health risks associated with heavy metal exposure.”</w:t>
        <w:tab/>
        <w:tab/>
        <w:tab/>
        <w:t xml:space="preserve">“There were notable changes in the expression levels of genes related to muscle growth (MyoD, IGF-1) and immune response (TNFa, IL6) in fish”</w:t>
        <w:tab/>
        <w:tab/>
        <w:tab/>
        <w:tab/>
        <w:tab/>
        <w:t xml:space="preserve">“Fish and water samples were collected from two sites: the Damietta branch of the Nile River and El-Rayah El-Tawfeeky canal in Benha City, Egypt.”</w:t>
      </w:r>
    </w:p>
    <w:p w:rsidR="00000000" w:rsidDel="00000000" w:rsidP="00000000" w:rsidRDefault="00000000" w:rsidRPr="00000000" w14:paraId="00000056">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57">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58">
      <w:pPr>
        <w:spacing w:after="240" w:before="240" w:line="240" w:lineRule="auto"/>
        <w:rPr>
          <w:sz w:val="24"/>
          <w:szCs w:val="24"/>
        </w:rPr>
      </w:pPr>
      <w:r w:rsidDel="00000000" w:rsidR="00000000" w:rsidRPr="00000000">
        <w:rPr>
          <w:b w:val="1"/>
          <w:sz w:val="24"/>
          <w:szCs w:val="24"/>
          <w:rtl w:val="0"/>
        </w:rPr>
        <w:t xml:space="preserve">[8]</w:t>
      </w:r>
      <w:r w:rsidDel="00000000" w:rsidR="00000000" w:rsidRPr="00000000">
        <w:rPr>
          <w:rtl w:val="0"/>
        </w:rPr>
      </w:r>
    </w:p>
    <w:p w:rsidR="00000000" w:rsidDel="00000000" w:rsidP="00000000" w:rsidRDefault="00000000" w:rsidRPr="00000000" w14:paraId="00000059">
      <w:pPr>
        <w:spacing w:after="240" w:before="240" w:line="240" w:lineRule="auto"/>
        <w:ind w:left="720" w:firstLine="0"/>
        <w:rPr>
          <w:sz w:val="24"/>
          <w:szCs w:val="24"/>
        </w:rPr>
      </w:pPr>
      <w:r w:rsidDel="00000000" w:rsidR="00000000" w:rsidRPr="00000000">
        <w:rPr>
          <w:sz w:val="24"/>
          <w:szCs w:val="24"/>
          <w:rtl w:val="0"/>
        </w:rPr>
        <w:t xml:space="preserve">Jamil Emon, F., Rohani, M. F., Sumaiya, N., Tuj Jannat, M. F., Akter, Y., Shahjahan, M., Abdul Kari, Z., Tahiluddin, A. B., &amp; Goh, K. W. (2023). Bioaccumulation and Bioremediation of Heavy Metals in Fishes—A Review. Toxics, 11(6), 510. </w:t>
      </w:r>
    </w:p>
    <w:p w:rsidR="00000000" w:rsidDel="00000000" w:rsidP="00000000" w:rsidRDefault="00000000" w:rsidRPr="00000000" w14:paraId="0000005A">
      <w:pPr>
        <w:spacing w:after="240" w:before="240" w:line="240" w:lineRule="auto"/>
        <w:ind w:left="720" w:firstLine="0"/>
        <w:rPr>
          <w:sz w:val="24"/>
          <w:szCs w:val="24"/>
        </w:rPr>
      </w:pPr>
      <w:hyperlink r:id="rId17">
        <w:r w:rsidDel="00000000" w:rsidR="00000000" w:rsidRPr="00000000">
          <w:rPr>
            <w:color w:val="1155cc"/>
            <w:sz w:val="24"/>
            <w:szCs w:val="24"/>
            <w:u w:val="single"/>
            <w:rtl w:val="0"/>
          </w:rPr>
          <w:t xml:space="preserve">https://doi.org/10.3390/toxics11060510</w:t>
        </w:r>
      </w:hyperlink>
      <w:r w:rsidDel="00000000" w:rsidR="00000000" w:rsidRPr="00000000">
        <w:rPr>
          <w:rtl w:val="0"/>
        </w:rPr>
      </w:r>
    </w:p>
    <w:p w:rsidR="00000000" w:rsidDel="00000000" w:rsidP="00000000" w:rsidRDefault="00000000" w:rsidRPr="00000000" w14:paraId="0000005B">
      <w:pPr>
        <w:spacing w:after="240" w:before="240" w:line="240" w:lineRule="auto"/>
        <w:rPr>
          <w:sz w:val="24"/>
          <w:szCs w:val="24"/>
        </w:rPr>
      </w:pPr>
      <w:r w:rsidDel="00000000" w:rsidR="00000000" w:rsidRPr="00000000">
        <w:rPr>
          <w:sz w:val="24"/>
          <w:szCs w:val="24"/>
          <w:rtl w:val="0"/>
        </w:rPr>
        <w:t xml:space="preserve">(doesn't have page structure)</w:t>
      </w:r>
    </w:p>
    <w:p w:rsidR="00000000" w:rsidDel="00000000" w:rsidP="00000000" w:rsidRDefault="00000000" w:rsidRPr="00000000" w14:paraId="0000005C">
      <w:pPr>
        <w:spacing w:after="240" w:before="240" w:line="240" w:lineRule="auto"/>
        <w:rPr>
          <w:sz w:val="24"/>
          <w:szCs w:val="24"/>
        </w:rPr>
      </w:pPr>
      <w:r w:rsidDel="00000000" w:rsidR="00000000" w:rsidRPr="00000000">
        <w:rPr>
          <w:sz w:val="24"/>
          <w:szCs w:val="24"/>
          <w:rtl w:val="0"/>
        </w:rPr>
        <w:t xml:space="preserve">“Metals are particle-bound pollutants in surface water with suspended solids associated with 60–97% of total metals in surface water”</w:t>
        <w:tab/>
        <w:tab/>
        <w:tab/>
        <w:tab/>
        <w:tab/>
        <w:tab/>
        <w:tab/>
        <w:t xml:space="preserve">“Transported suspended solids absorb metals; therefore, turbidity could be used to detect the occurrence of these pollutants.”</w:t>
      </w:r>
    </w:p>
    <w:p w:rsidR="00000000" w:rsidDel="00000000" w:rsidP="00000000" w:rsidRDefault="00000000" w:rsidRPr="00000000" w14:paraId="0000005D">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5E">
      <w:pPr>
        <w:spacing w:after="240" w:before="240"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ndriest.com/environmental-measurements/parameters/water-quality/turbidity-total-suspended-solids-water-clarity/" TargetMode="External"/><Relationship Id="rId10" Type="http://schemas.openxmlformats.org/officeDocument/2006/relationships/hyperlink" Target="https://doi.org/10.1371/journal.pone.0152491"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ba.biodiversity.vic.gov.au/vba/index.jsp" TargetMode="External"/><Relationship Id="rId15" Type="http://schemas.openxmlformats.org/officeDocument/2006/relationships/image" Target="media/image4.jpg"/><Relationship Id="rId14" Type="http://schemas.openxmlformats.org/officeDocument/2006/relationships/hyperlink" Target="https://doi.org/10.1186/s12917-024-04367-3" TargetMode="External"/><Relationship Id="rId17" Type="http://schemas.openxmlformats.org/officeDocument/2006/relationships/hyperlink" Target="https://doi.org/10.3390/toxics11060510" TargetMode="External"/><Relationship Id="rId16"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s://www.frdc.com.au/sites/default/files/2023-07/victoria_rec_fishing_survey_-_web.pdf" TargetMode="External"/><Relationship Id="rId7" Type="http://schemas.openxmlformats.org/officeDocument/2006/relationships/hyperlink" Target="https://vfa.vic.gov.au/science-in-fisheries/featured/fish-stock-assessments" TargetMode="External"/><Relationship Id="rId8" Type="http://schemas.openxmlformats.org/officeDocument/2006/relationships/hyperlink" Target="https://www.epa.vic.gov.au/check-air-and-water-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