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50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tblPr>
      <w:tblGrid>
        <w:gridCol w:w="5040"/>
        <w:gridCol w:w="5040"/>
      </w:tblGrid>
      <w:tr>
        <w:tc>
          <w:tcPr>
            <w:tcW w:w="5040" w:type="dxa"/>
            <w:tcMar>
              <w:top w:w="0" w:type="dxa"/>
              <w:left w:w="0" w:type="dxa"/>
              <w:bottom w:w="0" w:type="dxa"/>
              <w:right w:w="0" w:type="dxa"/>
            </w:tcMar>
            <w:vAlign w:val="center"/>
          </w:tcPr>
          <w:p>
            <w:pPr/>
            <w:r>
              <w:rPr>
                <w:noProof/>
              </w:rPr>
              <w:drawing>
                <wp:inline distT="0" distB="0" distL="0" distR="0">
                  <wp:extent cx="2724150" cy="30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24150" cy="304800"/>
                          </a:xfrm>
                          <a:prstGeom prst="rect">
                            <a:avLst/>
                          </a:prstGeom>
                        </pic:spPr>
                      </pic:pic>
                    </a:graphicData>
                  </a:graphic>
                </wp:inline>
              </w:drawing>
            </w:r>
          </w:p>
        </w:tc>
        <w:tc>
          <w:tcPr>
            <w:tcW w:w="5040" w:type="dxa"/>
            <w:tcMar>
              <w:top w:w="0" w:type="dxa"/>
              <w:left w:w="0" w:type="dxa"/>
              <w:bottom w:w="0" w:type="dxa"/>
              <w:right w:w="0" w:type="dxa"/>
            </w:tcMar>
            <w:vAlign w:val="center"/>
          </w:tcPr>
          <w:p>
            <w:pPr>
              <w:jc w:val="right"/>
            </w:pPr>
            <w:r>
              <w:rPr>
                <w:noProof/>
              </w:rPr>
              <w:drawing>
                <wp:inline distT="0" distB="0" distL="0" distR="0">
                  <wp:extent cx="1571625" cy="533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71625" cy="533400"/>
                          </a:xfrm>
                          <a:prstGeom prst="rect">
                            <a:avLst/>
                          </a:prstGeom>
                        </pic:spPr>
                      </pic:pic>
                    </a:graphicData>
                  </a:graphic>
                </wp:inline>
              </w:drawing>
            </w:r>
          </w:p>
        </w:tc>
      </w:tr>
    </w:tbl>
    <w:p>
      <w:pPr>
        <w:pBdr>
          <w:bottom w:val="single" w:sz="14" w:space="6" w:color="3B62D9"/>
        </w:pBdr>
        <w:spacing w:before="220" w:after="900"/>
      </w:pPr>
      <w:r>
        <w:rPr>
          <w:sz w:val="8"/>
          <w:szCs w:val="8"/>
        </w:rPr>
        <w:t xml:space="preserve"> </w:t>
      </w:r>
    </w:p>
    <w:p>
      <w:pPr>
        <w:spacing w:after="60"/>
      </w:pPr>
      <w:r>
        <w:rPr>
          <w:b/>
          <w:bCs/>
          <w:color w:val="3B62D9"/>
          <w:spacing w:val="40"/>
        </w:rPr>
        <w:t>DASHBOARD DESIGN &amp; ACCEPTANCE SIGN-OFF</w:t>
      </w:r>
    </w:p>
    <w:p>
      <w:pPr>
        <w:spacing w:after="110"/>
      </w:pPr>
      <w:r>
        <w:rPr>
          <w:b/>
          <w:bCs/>
          <w:sz w:val="48"/>
          <w:szCs w:val="48"/>
        </w:rPr>
        <w:t xml:space="preserve">Dashboard 1 — Sign-off</w:t>
      </w:r>
    </w:p>
    <w:p>
      <w:pPr>
        <w:spacing w:after="800"/>
      </w:pPr>
      <w:r>
        <w:rPr>
          <w:color w:val="6B6B76"/>
          <w:sz w:val="23"/>
          <w:szCs w:val="23"/>
        </w:rPr>
        <w:t xml:space="preserve">Sales Data Warehouse — design baseline and acceptance for the first dashboard, produced on available SalesFlo secondary sales data.</w:t>
      </w:r>
    </w:p>
    <w:tbl>
      <w:tblPr>
        <w:tblW w:w="10080" w:type="dxa"/>
        <w:tblBorders>
          <w:top w:val="single" w:sz="4" w:space="0" w:color="D8D8E0"/>
          <w:left w:val="none" w:sz="0" w:space="0" w:color="FFFFFF"/>
          <w:bottom w:val="single" w:sz="4" w:space="0" w:color="D8D8E0"/>
          <w:right w:val="none" w:sz="0" w:space="0" w:color="FFFFFF"/>
          <w:insideH w:val="single" w:sz="4" w:space="0" w:color="D8D8E0"/>
          <w:insideV w:val="none" w:sz="0" w:space="0" w:color="FFFFFF"/>
        </w:tblBorders>
        <w:tblCellMar>
          <w:left w:w="10" w:type="dxa"/>
          <w:right w:w="10" w:type="dxa"/>
        </w:tblCellMar>
        <w:tblLook w:val="0000"/>
      </w:tblPr>
      <w:tblGrid>
        <w:gridCol w:w="2700"/>
        <w:gridCol w:w="7380"/>
      </w:tblGrid>
      <w:tr>
        <w:tc>
          <w:tcPr>
            <w:tcW w:w="2700" w:type="dxa"/>
            <w:tcMar>
              <w:top w:w="100" w:type="dxa"/>
              <w:left w:w="0" w:type="dxa"/>
              <w:bottom w:w="100" w:type="dxa"/>
              <w:right w:w="130" w:type="dxa"/>
            </w:tcMar>
          </w:tcPr>
          <w:p>
            <w:pPr>
              <w:spacing w:line="268" w:lineRule="auto"/>
            </w:pPr>
            <w:r>
              <w:rPr>
                <w:b/>
                <w:bCs/>
                <w:sz w:val="20"/>
                <w:szCs w:val="20"/>
              </w:rPr>
              <w:t xml:space="preserve">Client</w:t>
            </w:r>
          </w:p>
        </w:tc>
        <w:tc>
          <w:tcPr>
            <w:tcW w:w="7380" w:type="dxa"/>
            <w:tcMar>
              <w:top w:w="100" w:type="dxa"/>
              <w:left w:w="0" w:type="dxa"/>
              <w:bottom w:w="100" w:type="dxa"/>
              <w:right w:w="0" w:type="dxa"/>
            </w:tcMar>
          </w:tcPr>
          <w:p>
            <w:pPr>
              <w:spacing w:line="268" w:lineRule="auto"/>
            </w:pPr>
            <w:r>
              <w:rPr>
                <w:color w:val="6B6B76"/>
                <w:sz w:val="20"/>
                <w:szCs w:val="20"/>
              </w:rPr>
              <w:t xml:space="preserve">Ana &amp; Batla Industries</w:t>
            </w:r>
          </w:p>
        </w:tc>
      </w:tr>
      <w:tr>
        <w:tc>
          <w:tcPr>
            <w:tcW w:w="2700" w:type="dxa"/>
            <w:tcMar>
              <w:top w:w="100" w:type="dxa"/>
              <w:left w:w="0" w:type="dxa"/>
              <w:bottom w:w="100" w:type="dxa"/>
              <w:right w:w="130" w:type="dxa"/>
            </w:tcMar>
          </w:tcPr>
          <w:p>
            <w:pPr>
              <w:spacing w:line="268" w:lineRule="auto"/>
            </w:pPr>
            <w:r>
              <w:rPr>
                <w:b/>
                <w:bCs/>
                <w:sz w:val="20"/>
                <w:szCs w:val="20"/>
              </w:rPr>
              <w:t xml:space="preserve">Project</w:t>
            </w:r>
          </w:p>
        </w:tc>
        <w:tc>
          <w:tcPr>
            <w:tcW w:w="7380" w:type="dxa"/>
            <w:tcMar>
              <w:top w:w="100" w:type="dxa"/>
              <w:left w:w="0" w:type="dxa"/>
              <w:bottom w:w="100" w:type="dxa"/>
              <w:right w:w="0" w:type="dxa"/>
            </w:tcMar>
          </w:tcPr>
          <w:p>
            <w:pPr>
              <w:spacing w:line="268" w:lineRule="auto"/>
            </w:pPr>
            <w:r>
              <w:rPr>
                <w:color w:val="6B6B76"/>
                <w:sz w:val="20"/>
                <w:szCs w:val="20"/>
              </w:rPr>
              <w:t xml:space="preserve">Sales Data Warehouse</w:t>
            </w:r>
          </w:p>
        </w:tc>
      </w:tr>
      <w:tr>
        <w:tc>
          <w:tcPr>
            <w:tcW w:w="2700" w:type="dxa"/>
            <w:tcMar>
              <w:top w:w="100" w:type="dxa"/>
              <w:left w:w="0" w:type="dxa"/>
              <w:bottom w:w="100" w:type="dxa"/>
              <w:right w:w="130" w:type="dxa"/>
            </w:tcMar>
          </w:tcPr>
          <w:p>
            <w:pPr>
              <w:spacing w:line="268" w:lineRule="auto"/>
            </w:pPr>
            <w:r>
              <w:rPr>
                <w:b/>
                <w:bCs/>
                <w:sz w:val="20"/>
                <w:szCs w:val="20"/>
              </w:rPr>
              <w:t xml:space="preserve">Document</w:t>
            </w:r>
          </w:p>
        </w:tc>
        <w:tc>
          <w:tcPr>
            <w:tcW w:w="7380" w:type="dxa"/>
            <w:tcMar>
              <w:top w:w="100" w:type="dxa"/>
              <w:left w:w="0" w:type="dxa"/>
              <w:bottom w:w="100" w:type="dxa"/>
              <w:right w:w="0" w:type="dxa"/>
            </w:tcMar>
          </w:tcPr>
          <w:p>
            <w:pPr>
              <w:spacing w:line="268" w:lineRule="auto"/>
            </w:pPr>
            <w:r>
              <w:rPr>
                <w:color w:val="6B6B76"/>
                <w:sz w:val="20"/>
                <w:szCs w:val="20"/>
              </w:rPr>
              <w:t xml:space="preserve">TNX.DWH.AnaBatla.SO.01</w:t>
            </w:r>
          </w:p>
        </w:tc>
      </w:tr>
      <w:tr>
        <w:tc>
          <w:tcPr>
            <w:tcW w:w="2700" w:type="dxa"/>
            <w:tcMar>
              <w:top w:w="100" w:type="dxa"/>
              <w:left w:w="0" w:type="dxa"/>
              <w:bottom w:w="100" w:type="dxa"/>
              <w:right w:w="130" w:type="dxa"/>
            </w:tcMar>
          </w:tcPr>
          <w:p>
            <w:pPr>
              <w:spacing w:line="268" w:lineRule="auto"/>
            </w:pPr>
            <w:r>
              <w:rPr>
                <w:b/>
                <w:bCs/>
                <w:sz w:val="20"/>
                <w:szCs w:val="20"/>
              </w:rPr>
              <w:t xml:space="preserve">Version / Date</w:t>
            </w:r>
          </w:p>
        </w:tc>
        <w:tc>
          <w:tcPr>
            <w:tcW w:w="7380" w:type="dxa"/>
            <w:tcMar>
              <w:top w:w="100" w:type="dxa"/>
              <w:left w:w="0" w:type="dxa"/>
              <w:bottom w:w="100" w:type="dxa"/>
              <w:right w:w="0" w:type="dxa"/>
            </w:tcMar>
          </w:tcPr>
          <w:p>
            <w:pPr>
              <w:spacing w:line="268" w:lineRule="auto"/>
            </w:pPr>
            <w:r>
              <w:rPr>
                <w:color w:val="6B6B76"/>
                <w:sz w:val="20"/>
                <w:szCs w:val="20"/>
              </w:rPr>
              <w:t xml:space="preserve">v1.0 — 29 August 2026</w:t>
            </w:r>
          </w:p>
        </w:tc>
      </w:tr>
      <w:tr>
        <w:tc>
          <w:tcPr>
            <w:tcW w:w="2700" w:type="dxa"/>
            <w:tcMar>
              <w:top w:w="100" w:type="dxa"/>
              <w:left w:w="0" w:type="dxa"/>
              <w:bottom w:w="100" w:type="dxa"/>
              <w:right w:w="130" w:type="dxa"/>
            </w:tcMar>
          </w:tcPr>
          <w:p>
            <w:pPr>
              <w:spacing w:line="268" w:lineRule="auto"/>
            </w:pPr>
            <w:r>
              <w:rPr>
                <w:b/>
                <w:bCs/>
                <w:sz w:val="20"/>
                <w:szCs w:val="20"/>
              </w:rPr>
              <w:t xml:space="preserve">Deliverable</w:t>
            </w:r>
          </w:p>
        </w:tc>
        <w:tc>
          <w:tcPr>
            <w:tcW w:w="7380" w:type="dxa"/>
            <w:tcMar>
              <w:top w:w="100" w:type="dxa"/>
              <w:left w:w="0" w:type="dxa"/>
              <w:bottom w:w="100" w:type="dxa"/>
              <w:right w:w="0" w:type="dxa"/>
            </w:tcMar>
          </w:tcPr>
          <w:p>
            <w:pPr>
              <w:spacing w:line="268" w:lineRule="auto"/>
            </w:pPr>
            <w:r>
              <w:rPr>
                <w:color w:val="6B6B76"/>
                <w:sz w:val="20"/>
                <w:szCs w:val="20"/>
              </w:rPr>
              <w:t xml:space="preserve">Dashboard 1 — design pack and built dashboard (Milestone 3)</w:t>
            </w:r>
          </w:p>
        </w:tc>
      </w:tr>
      <w:tr>
        <w:tc>
          <w:tcPr>
            <w:tcW w:w="2700" w:type="dxa"/>
            <w:tcMar>
              <w:top w:w="100" w:type="dxa"/>
              <w:left w:w="0" w:type="dxa"/>
              <w:bottom w:w="100" w:type="dxa"/>
              <w:right w:w="130" w:type="dxa"/>
            </w:tcMar>
          </w:tcPr>
          <w:p>
            <w:pPr>
              <w:spacing w:line="268" w:lineRule="auto"/>
            </w:pPr>
            <w:r>
              <w:rPr>
                <w:b/>
                <w:bCs/>
                <w:sz w:val="20"/>
                <w:szCs w:val="20"/>
              </w:rPr>
              <w:t xml:space="preserve">Governing documents</w:t>
            </w:r>
          </w:p>
        </w:tc>
        <w:tc>
          <w:tcPr>
            <w:tcW w:w="7380" w:type="dxa"/>
            <w:tcMar>
              <w:top w:w="100" w:type="dxa"/>
              <w:left w:w="0" w:type="dxa"/>
              <w:bottom w:w="100" w:type="dxa"/>
              <w:right w:w="0" w:type="dxa"/>
            </w:tcMar>
          </w:tcPr>
          <w:p>
            <w:pPr>
              <w:spacing w:line="268" w:lineRule="auto"/>
            </w:pPr>
            <w:r>
              <w:rPr>
                <w:color w:val="6B6B76"/>
                <w:sz w:val="20"/>
                <w:szCs w:val="20"/>
              </w:rPr>
              <w:t xml:space="preserve">BRD TNX.DWH.AnaBatla.BRD.01 v1.0 · Project Plan TNX.DWH.AnaBatla.PP.01 v1.0 · Proposal TNX.DWH.AnaBatla.20260804.09 v09.0</w:t>
            </w:r>
          </w:p>
        </w:tc>
      </w:tr>
      <w:tr>
        <w:tc>
          <w:tcPr>
            <w:tcW w:w="2700" w:type="dxa"/>
            <w:tcMar>
              <w:top w:w="100" w:type="dxa"/>
              <w:left w:w="0" w:type="dxa"/>
              <w:bottom w:w="100" w:type="dxa"/>
              <w:right w:w="130" w:type="dxa"/>
            </w:tcMar>
          </w:tcPr>
          <w:p>
            <w:pPr>
              <w:spacing w:line="268" w:lineRule="auto"/>
            </w:pPr>
            <w:r>
              <w:rPr>
                <w:b/>
                <w:bCs/>
                <w:sz w:val="20"/>
                <w:szCs w:val="20"/>
              </w:rPr>
              <w:t xml:space="preserve">Prepared by</w:t>
            </w:r>
          </w:p>
        </w:tc>
        <w:tc>
          <w:tcPr>
            <w:tcW w:w="7380" w:type="dxa"/>
            <w:tcMar>
              <w:top w:w="100" w:type="dxa"/>
              <w:left w:w="0" w:type="dxa"/>
              <w:bottom w:w="100" w:type="dxa"/>
              <w:right w:w="0" w:type="dxa"/>
            </w:tcMar>
          </w:tcPr>
          <w:p>
            <w:pPr>
              <w:spacing w:line="268" w:lineRule="auto"/>
            </w:pPr>
            <w:r>
              <w:rPr>
                <w:color w:val="6B6B76"/>
                <w:sz w:val="20"/>
                <w:szCs w:val="20"/>
              </w:rPr>
              <w:t xml:space="preserve">Tazeen Amir, Dashboard Design Lead — reviewed by Adnan Sajid, Project Manager / Data Engineer</w:t>
            </w:r>
          </w:p>
        </w:tc>
      </w:tr>
      <w:tr>
        <w:tc>
          <w:tcPr>
            <w:tcW w:w="2700" w:type="dxa"/>
            <w:tcMar>
              <w:top w:w="100" w:type="dxa"/>
              <w:left w:w="0" w:type="dxa"/>
              <w:bottom w:w="100" w:type="dxa"/>
              <w:right w:w="130" w:type="dxa"/>
            </w:tcMar>
          </w:tcPr>
          <w:p>
            <w:pPr>
              <w:spacing w:line="268" w:lineRule="auto"/>
            </w:pPr>
            <w:r>
              <w:rPr>
                <w:b/>
                <w:bCs/>
                <w:sz w:val="20"/>
                <w:szCs w:val="20"/>
              </w:rPr>
              <w:t xml:space="preserve">Status</w:t>
            </w:r>
          </w:p>
        </w:tc>
        <w:tc>
          <w:tcPr>
            <w:tcW w:w="7380" w:type="dxa"/>
            <w:tcMar>
              <w:top w:w="100" w:type="dxa"/>
              <w:left w:w="0" w:type="dxa"/>
              <w:bottom w:w="100" w:type="dxa"/>
              <w:right w:w="0" w:type="dxa"/>
            </w:tcMar>
          </w:tcPr>
          <w:p>
            <w:pPr>
              <w:spacing w:line="268" w:lineRule="auto"/>
            </w:pPr>
            <w:r>
              <w:rPr>
                <w:color w:val="6B6B76"/>
                <w:sz w:val="20"/>
                <w:szCs w:val="20"/>
              </w:rPr>
              <w:t xml:space="preserve">Issued for client sign-off</w:t>
            </w:r>
          </w:p>
        </w:tc>
      </w:tr>
    </w:tbl>
    <w:p>
      <w:r>
        <w:br w:type="page"/>
      </w:r>
    </w:p>
    <w:p>
      <w:pPr>
        <w:pStyle w:val="Heading1"/>
        <w:pBdr>
          <w:bottom w:val="single" w:sz="12" w:space="6" w:color="8E24AA"/>
        </w:pBdr>
        <w:spacing w:before="340" w:after="170"/>
      </w:pPr>
      <w:r>
        <w:rPr>
          <w:b/>
          <w:bCs/>
          <w:color w:val="3F3F46"/>
          <w:sz w:val="28"/>
          <w:szCs w:val="28"/>
        </w:rPr>
        <w:t xml:space="preserve">1.  Purpose</w:t>
      </w:r>
    </w:p>
    <w:p>
      <w:pPr>
        <w:spacing w:after="110" w:line="268" w:lineRule="auto"/>
      </w:pPr>
      <w:r>
        <w:t xml:space="preserve">This document closes the design of the first dashboard and records its acceptance. It states what was designed, what Ana &amp; Batla asked to change at first revision, what is now built, and what remains open. Signature makes this design the baseline that the build is measured against.</w:t>
      </w:r>
    </w:p>
    <w:p>
      <w:pPr>
        <w:spacing w:after="110" w:line="268" w:lineRule="auto"/>
      </w:pPr>
      <w:r>
        <w:t xml:space="preserve">The first dashboard was produced on the available SalesFlo secondary sales data, as set out in the Project Plan §5.1. Ana &amp; Batla reviewed that design and returned one round of feedback. That feedback is incorporated in full and is recorded in §3 below. No further revisions are outstanding.</w:t>
      </w:r>
    </w:p>
    <w:p>
      <w:pPr>
        <w:pStyle w:val="Heading2"/>
        <w:spacing w:before="260" w:after="110"/>
      </w:pPr>
      <w:r>
        <w:rPr>
          <w:b/>
          <w:bCs/>
          <w:color w:val="8E24AA"/>
          <w:sz w:val="23"/>
          <w:szCs w:val="23"/>
        </w:rPr>
        <w:t xml:space="preserve">1.1  What signature confirms</w:t>
      </w:r>
    </w:p>
    <w:p>
      <w:pPr>
        <w:pStyle w:val="ListParagraph"/>
        <w:numPr>
          <w:ilvl w:val="0"/>
          <w:numId w:val="2"/>
        </w:numPr>
        <w:spacing w:after="70" w:line="264" w:lineRule="auto"/>
      </w:pPr>
      <w:r>
        <w:t xml:space="preserve">The filters, KPIs, visuals and business rules recorded in §3 are the approved design of Dashboard 1.</w:t>
      </w:r>
    </w:p>
    <w:p>
      <w:pPr>
        <w:pStyle w:val="ListParagraph"/>
        <w:numPr>
          <w:ilvl w:val="0"/>
          <w:numId w:val="2"/>
        </w:numPr>
        <w:spacing w:after="70" w:line="264" w:lineRule="auto"/>
      </w:pPr>
      <w:r>
        <w:t xml:space="preserve">The data displayed through the hosted application matches that approved design.</w:t>
      </w:r>
    </w:p>
    <w:p>
      <w:pPr>
        <w:pStyle w:val="ListParagraph"/>
        <w:numPr>
          <w:ilvl w:val="0"/>
          <w:numId w:val="2"/>
        </w:numPr>
        <w:spacing w:after="70" w:line="264" w:lineRule="auto"/>
      </w:pPr>
      <w:r>
        <w:t xml:space="preserve">Milestone 3 of the Project Plan — first dashboard delivered and accepted, revision rounds closed — is met on the date of signature.</w:t>
      </w:r>
    </w:p>
    <w:p>
      <w:pPr>
        <w:pStyle w:val="ListParagraph"/>
        <w:numPr>
          <w:ilvl w:val="0"/>
          <w:numId w:val="2"/>
        </w:numPr>
        <w:spacing w:after="70" w:line="264" w:lineRule="auto"/>
      </w:pPr>
      <w:r>
        <w:t xml:space="preserve">The three items in §4 remain open and are handled as recorded there. They do not hold up this sign-off.</w:t>
      </w:r>
    </w:p>
    <w:p>
      <w:pPr>
        <w:pStyle w:val="ListParagraph"/>
        <w:numPr>
          <w:ilvl w:val="0"/>
          <w:numId w:val="2"/>
        </w:numPr>
        <w:spacing w:after="70" w:line="264" w:lineRule="auto"/>
      </w:pPr>
      <w:r>
        <w:t xml:space="preserve">Any change requested after signature is handled through Change Control, per Project Plan §7.</w:t>
      </w:r>
    </w:p>
    <w:p>
      <w:r>
        <w:br w:type="page"/>
      </w:r>
    </w:p>
    <w:p>
      <w:pPr>
        <w:pStyle w:val="Heading1"/>
        <w:pBdr>
          <w:bottom w:val="single" w:sz="12" w:space="6" w:color="8E24AA"/>
        </w:pBdr>
        <w:spacing w:before="340" w:after="170"/>
      </w:pPr>
      <w:r>
        <w:rPr>
          <w:b/>
          <w:bCs/>
          <w:color w:val="3F3F46"/>
          <w:sz w:val="28"/>
          <w:szCs w:val="28"/>
        </w:rPr>
        <w:t xml:space="preserve">2.  Revision history</w:t>
      </w:r>
    </w:p>
    <w:p>
      <w:pPr>
        <w:spacing w:after="140" w:line="268" w:lineRule="auto"/>
      </w:pPr>
      <w:r>
        <w:t xml:space="preserve">Three revision rounds are included on the first dashboard under the Project Plan. One has been used.</w:t>
      </w:r>
    </w:p>
    <w:tbl>
      <w:tblPr>
        <w:tblW w:w="1008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000" w:firstRow="0" w:lastRow="0" w:firstColumn="0" w:lastColumn="0" w:noHBand="0" w:noVBand="0"/>
      </w:tblPr>
      <w:tblGrid>
        <w:gridCol w:w="1200"/>
        <w:gridCol w:w="1900"/>
        <w:gridCol w:w="5180"/>
        <w:gridCol w:w="1800"/>
      </w:tblGrid>
      <w:tr>
        <w:trPr>
          <w:tblHeader/>
        </w:trPr>
        <w:tc>
          <w:tcPr>
            <w:tcW w:w="12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Round</w:t>
            </w:r>
          </w:p>
        </w:tc>
        <w:tc>
          <w:tcPr>
            <w:tcW w:w="19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Date</w:t>
            </w:r>
          </w:p>
        </w:tc>
        <w:tc>
          <w:tcPr>
            <w:tcW w:w="518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Outcome</w:t>
            </w:r>
          </w:p>
        </w:tc>
        <w:tc>
          <w:tcPr>
            <w:tcW w:w="18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Status</w:t>
            </w:r>
          </w:p>
        </w:tc>
      </w:tr>
      <w:tr>
        <w:tc>
          <w:tcPr>
            <w:tcW w:w="1200" w:type="dxa"/>
            <w:shd w:val="clear" w:color="auto" w:fill="FFFFFF"/>
            <w:tcMar>
              <w:top w:w="85" w:type="dxa"/>
              <w:left w:w="130" w:type="dxa"/>
              <w:bottom w:w="85" w:type="dxa"/>
              <w:right w:w="130" w:type="dxa"/>
            </w:tcMar>
          </w:tcPr>
          <w:p>
            <w:pPr>
              <w:spacing w:line="248" w:lineRule="auto"/>
            </w:pPr>
            <w:r>
              <w:rPr>
                <w:b/>
                <w:bCs/>
                <w:sz w:val="19"/>
                <w:szCs w:val="19"/>
              </w:rPr>
              <w:t xml:space="preserve">Rev 0</w:t>
            </w:r>
          </w:p>
        </w:tc>
        <w:tc>
          <w:tcPr>
            <w:tcW w:w="1900" w:type="dxa"/>
            <w:shd w:val="clear" w:color="auto" w:fill="FFFFFF"/>
            <w:tcMar>
              <w:top w:w="85" w:type="dxa"/>
              <w:left w:w="130" w:type="dxa"/>
              <w:bottom w:w="85" w:type="dxa"/>
              <w:right w:w="130" w:type="dxa"/>
            </w:tcMar>
          </w:tcPr>
          <w:p>
            <w:pPr>
              <w:spacing w:line="248" w:lineRule="auto"/>
            </w:pPr>
            <w:r>
              <w:rPr>
                <w:sz w:val="19"/>
                <w:szCs w:val="19"/>
              </w:rPr>
              <w:t xml:space="preserve">Initial design</w:t>
            </w:r>
          </w:p>
        </w:tc>
        <w:tc>
          <w:tcPr>
            <w:tcW w:w="5180" w:type="dxa"/>
            <w:shd w:val="clear" w:color="auto" w:fill="FFFFFF"/>
            <w:tcMar>
              <w:top w:w="85" w:type="dxa"/>
              <w:left w:w="130" w:type="dxa"/>
              <w:bottom w:w="85" w:type="dxa"/>
              <w:right w:w="130" w:type="dxa"/>
            </w:tcMar>
          </w:tcPr>
          <w:p>
            <w:pPr>
              <w:spacing w:line="248" w:lineRule="auto"/>
            </w:pPr>
            <w:r>
              <w:rPr>
                <w:sz w:val="19"/>
                <w:szCs w:val="19"/>
              </w:rPr>
              <w:t xml:space="preserve">First dashboard design presented on available SalesFlo secondary sales data.</w:t>
            </w:r>
          </w:p>
        </w:tc>
        <w:tc>
          <w:tcPr>
            <w:tcW w:w="1800" w:type="dxa"/>
            <w:shd w:val="clear" w:color="auto" w:fill="FFFFFF"/>
            <w:tcMar>
              <w:top w:w="85" w:type="dxa"/>
              <w:left w:w="130" w:type="dxa"/>
              <w:bottom w:w="85" w:type="dxa"/>
              <w:right w:w="130" w:type="dxa"/>
            </w:tcMar>
          </w:tcPr>
          <w:p>
            <w:pPr>
              <w:spacing w:line="248" w:lineRule="auto"/>
            </w:pPr>
            <w:r>
              <w:rPr>
                <w:sz w:val="19"/>
                <w:szCs w:val="19"/>
              </w:rPr>
              <w:t xml:space="preserve">Superseded</w:t>
            </w:r>
          </w:p>
        </w:tc>
      </w:tr>
      <w:tr>
        <w:tc>
          <w:tcPr>
            <w:tcW w:w="1200" w:type="dxa"/>
            <w:shd w:val="clear" w:color="auto" w:fill="FFFFFF"/>
            <w:tcMar>
              <w:top w:w="85" w:type="dxa"/>
              <w:left w:w="130" w:type="dxa"/>
              <w:bottom w:w="85" w:type="dxa"/>
              <w:right w:w="130" w:type="dxa"/>
            </w:tcMar>
          </w:tcPr>
          <w:p>
            <w:pPr>
              <w:spacing w:line="248" w:lineRule="auto"/>
            </w:pPr>
            <w:r>
              <w:rPr>
                <w:b/>
                <w:bCs/>
                <w:sz w:val="19"/>
                <w:szCs w:val="19"/>
              </w:rPr>
              <w:t xml:space="preserve">Rev 1</w:t>
            </w:r>
          </w:p>
        </w:tc>
        <w:tc>
          <w:tcPr>
            <w:tcW w:w="1900" w:type="dxa"/>
            <w:shd w:val="clear" w:color="auto" w:fill="FFFFFF"/>
            <w:tcMar>
              <w:top w:w="85" w:type="dxa"/>
              <w:left w:w="130" w:type="dxa"/>
              <w:bottom w:w="85" w:type="dxa"/>
              <w:right w:w="130" w:type="dxa"/>
            </w:tcMar>
          </w:tcPr>
          <w:p>
            <w:pPr>
              <w:spacing w:line="248" w:lineRule="auto"/>
            </w:pPr>
            <w:r>
              <w:rPr>
                <w:sz w:val="19"/>
                <w:szCs w:val="19"/>
              </w:rPr>
              <w:t xml:space="preserve">First revision</w:t>
            </w:r>
          </w:p>
        </w:tc>
        <w:tc>
          <w:tcPr>
            <w:tcW w:w="5180" w:type="dxa"/>
            <w:shd w:val="clear" w:color="auto" w:fill="FFFFFF"/>
            <w:tcMar>
              <w:top w:w="85" w:type="dxa"/>
              <w:left w:w="130" w:type="dxa"/>
              <w:bottom w:w="85" w:type="dxa"/>
              <w:right w:w="130" w:type="dxa"/>
            </w:tcMar>
          </w:tcPr>
          <w:p>
            <w:pPr>
              <w:spacing w:line="248" w:lineRule="auto"/>
            </w:pPr>
            <w:r>
              <w:rPr>
                <w:sz w:val="19"/>
                <w:szCs w:val="19"/>
              </w:rPr>
              <w:t xml:space="preserve">Client feedback on filters, KPIs and visuals received and incorporated in full. Recorded as the baseline in §3.</w:t>
            </w:r>
          </w:p>
        </w:tc>
        <w:tc>
          <w:tcPr>
            <w:tcW w:w="1800" w:type="dxa"/>
            <w:shd w:val="clear" w:color="auto" w:fill="FFFFFF"/>
            <w:tcMar>
              <w:top w:w="85" w:type="dxa"/>
              <w:left w:w="130" w:type="dxa"/>
              <w:bottom w:w="85" w:type="dxa"/>
              <w:right w:w="130" w:type="dxa"/>
            </w:tcMar>
          </w:tcPr>
          <w:p>
            <w:pPr>
              <w:spacing w:line="248" w:lineRule="auto"/>
            </w:pPr>
            <w:r>
              <w:rPr>
                <w:sz w:val="19"/>
                <w:szCs w:val="19"/>
              </w:rPr>
              <w:t xml:space="preserve">Approved — this document</w:t>
            </w:r>
          </w:p>
        </w:tc>
      </w:tr>
      <w:tr>
        <w:tc>
          <w:tcPr>
            <w:tcW w:w="1200" w:type="dxa"/>
            <w:shd w:val="clear" w:color="auto" w:fill="FFFFFF"/>
            <w:tcMar>
              <w:top w:w="85" w:type="dxa"/>
              <w:left w:w="130" w:type="dxa"/>
              <w:bottom w:w="85" w:type="dxa"/>
              <w:right w:w="130" w:type="dxa"/>
            </w:tcMar>
          </w:tcPr>
          <w:p>
            <w:pPr>
              <w:spacing w:line="248" w:lineRule="auto"/>
            </w:pPr>
            <w:r>
              <w:rPr>
                <w:b/>
                <w:bCs/>
                <w:sz w:val="19"/>
                <w:szCs w:val="19"/>
              </w:rPr>
              <w:t xml:space="preserve">Rev 2 / Rev 3</w:t>
            </w:r>
          </w:p>
        </w:tc>
        <w:tc>
          <w:tcPr>
            <w:tcW w:w="1900" w:type="dxa"/>
            <w:shd w:val="clear" w:color="auto" w:fill="FFFFFF"/>
            <w:tcMar>
              <w:top w:w="85" w:type="dxa"/>
              <w:left w:w="130" w:type="dxa"/>
              <w:bottom w:w="85" w:type="dxa"/>
              <w:right w:w="130" w:type="dxa"/>
            </w:tcMar>
          </w:tcPr>
          <w:p>
            <w:pPr>
              <w:spacing w:line="248" w:lineRule="auto"/>
            </w:pPr>
            <w:r>
              <w:rPr>
                <w:sz w:val="19"/>
                <w:szCs w:val="19"/>
              </w:rPr>
              <w:t xml:space="preserve">Not used</w:t>
            </w:r>
          </w:p>
        </w:tc>
        <w:tc>
          <w:tcPr>
            <w:tcW w:w="5180" w:type="dxa"/>
            <w:shd w:val="clear" w:color="auto" w:fill="FFFFFF"/>
            <w:tcMar>
              <w:top w:w="85" w:type="dxa"/>
              <w:left w:w="130" w:type="dxa"/>
              <w:bottom w:w="85" w:type="dxa"/>
              <w:right w:w="130" w:type="dxa"/>
            </w:tcMar>
          </w:tcPr>
          <w:p>
            <w:pPr>
              <w:spacing w:line="248" w:lineRule="auto"/>
            </w:pPr>
            <w:r>
              <w:rPr>
                <w:sz w:val="19"/>
                <w:szCs w:val="19"/>
              </w:rPr>
              <w:t xml:space="preserve">Two of the three included rounds remain available on the first dashboard.</w:t>
            </w:r>
          </w:p>
        </w:tc>
        <w:tc>
          <w:tcPr>
            <w:tcW w:w="1800" w:type="dxa"/>
            <w:shd w:val="clear" w:color="auto" w:fill="FFFFFF"/>
            <w:tcMar>
              <w:top w:w="85" w:type="dxa"/>
              <w:left w:w="130" w:type="dxa"/>
              <w:bottom w:w="85" w:type="dxa"/>
              <w:right w:w="130" w:type="dxa"/>
            </w:tcMar>
          </w:tcPr>
          <w:p>
            <w:pPr>
              <w:spacing w:line="248" w:lineRule="auto"/>
            </w:pPr>
            <w:r>
              <w:rPr>
                <w:sz w:val="19"/>
                <w:szCs w:val="19"/>
              </w:rPr>
              <w:t xml:space="preserve">Available</w:t>
            </w:r>
          </w:p>
        </w:tc>
      </w:tr>
    </w:tbl>
    <w:p>
      <w:r>
        <w:br w:type="page"/>
      </w:r>
    </w:p>
    <w:p>
      <w:pPr>
        <w:pStyle w:val="Heading1"/>
        <w:pBdr>
          <w:bottom w:val="single" w:sz="12" w:space="6" w:color="8E24AA"/>
        </w:pBdr>
        <w:spacing w:before="340" w:after="170"/>
      </w:pPr>
      <w:r>
        <w:rPr>
          <w:b/>
          <w:bCs/>
          <w:color w:val="3F3F46"/>
          <w:sz w:val="28"/>
          <w:szCs w:val="28"/>
        </w:rPr>
        <w:t xml:space="preserve">3.  Approved design baseline</w:t>
      </w:r>
    </w:p>
    <w:p>
      <w:pPr>
        <w:spacing w:after="110" w:line="268" w:lineRule="auto"/>
      </w:pPr>
      <w:r>
        <w:t xml:space="preserve">The tables below record the design as approved at first revision. Items marked Removed were present in Rev 0 and are withdrawn at Ana &amp; Batla's request; they are not defects and their removal does not reduce the agreed scope or fee.</w:t>
      </w:r>
    </w:p>
    <w:p>
      <w:pPr>
        <w:pStyle w:val="Heading2"/>
        <w:spacing w:before="260" w:after="110"/>
      </w:pPr>
      <w:r>
        <w:rPr>
          <w:b/>
          <w:bCs/>
          <w:color w:val="8E24AA"/>
          <w:sz w:val="23"/>
          <w:szCs w:val="23"/>
        </w:rPr>
        <w:t xml:space="preserve">3.1  Filters</w:t>
      </w:r>
    </w:p>
    <w:tbl>
      <w:tblPr>
        <w:tblW w:w="1008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000" w:firstRow="0" w:lastRow="0" w:firstColumn="0" w:lastColumn="0" w:noHBand="0" w:noVBand="0"/>
      </w:tblPr>
      <w:tblGrid>
        <w:gridCol w:w="2600"/>
        <w:gridCol w:w="1700"/>
        <w:gridCol w:w="5780"/>
      </w:tblGrid>
      <w:tr>
        <w:trPr>
          <w:tblHeader/>
        </w:trPr>
        <w:tc>
          <w:tcPr>
            <w:tcW w:w="26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Filter</w:t>
            </w:r>
          </w:p>
        </w:tc>
        <w:tc>
          <w:tcPr>
            <w:tcW w:w="17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Treatment</w:t>
            </w:r>
          </w:p>
        </w:tc>
        <w:tc>
          <w:tcPr>
            <w:tcW w:w="578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Note</w:t>
            </w:r>
          </w:p>
        </w:tc>
      </w:tr>
      <w:tr>
        <w:tc>
          <w:tcPr>
            <w:tcW w:w="2600" w:type="dxa"/>
            <w:shd w:val="clear" w:color="auto" w:fill="FFFFFF"/>
            <w:tcMar>
              <w:top w:w="85" w:type="dxa"/>
              <w:left w:w="130" w:type="dxa"/>
              <w:bottom w:w="85" w:type="dxa"/>
              <w:right w:w="130" w:type="dxa"/>
            </w:tcMar>
          </w:tcPr>
          <w:p>
            <w:pPr>
              <w:spacing w:line="248" w:lineRule="auto"/>
            </w:pPr>
            <w:r>
              <w:rPr>
                <w:b/>
                <w:bCs/>
                <w:sz w:val="19"/>
                <w:szCs w:val="19"/>
              </w:rPr>
              <w:t xml:space="preserve">Year</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Retained</w:t>
            </w:r>
          </w:p>
        </w:tc>
        <w:tc>
          <w:tcPr>
            <w:tcW w:w="5780" w:type="dxa"/>
            <w:shd w:val="clear" w:color="auto" w:fill="FFFFFF"/>
            <w:tcMar>
              <w:top w:w="85" w:type="dxa"/>
              <w:left w:w="130" w:type="dxa"/>
              <w:bottom w:w="85" w:type="dxa"/>
              <w:right w:w="130" w:type="dxa"/>
            </w:tcMar>
          </w:tcPr>
          <w:p>
            <w:pPr>
              <w:spacing w:line="248" w:lineRule="auto"/>
            </w:pPr>
            <w:r>
              <w:rPr>
                <w:sz w:val="19"/>
                <w:szCs w:val="19"/>
              </w:rPr>
              <w:t xml:space="preserve">—</w:t>
            </w:r>
          </w:p>
        </w:tc>
      </w:tr>
      <w:tr>
        <w:tc>
          <w:tcPr>
            <w:tcW w:w="2600" w:type="dxa"/>
            <w:shd w:val="clear" w:color="auto" w:fill="FFFFFF"/>
            <w:tcMar>
              <w:top w:w="85" w:type="dxa"/>
              <w:left w:w="130" w:type="dxa"/>
              <w:bottom w:w="85" w:type="dxa"/>
              <w:right w:w="130" w:type="dxa"/>
            </w:tcMar>
          </w:tcPr>
          <w:p>
            <w:pPr>
              <w:spacing w:line="248" w:lineRule="auto"/>
            </w:pPr>
            <w:r>
              <w:rPr>
                <w:b/>
                <w:bCs/>
                <w:sz w:val="19"/>
                <w:szCs w:val="19"/>
              </w:rPr>
              <w:t xml:space="preserve">Month</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Retained</w:t>
            </w:r>
          </w:p>
        </w:tc>
        <w:tc>
          <w:tcPr>
            <w:tcW w:w="5780" w:type="dxa"/>
            <w:shd w:val="clear" w:color="auto" w:fill="FFFFFF"/>
            <w:tcMar>
              <w:top w:w="85" w:type="dxa"/>
              <w:left w:w="130" w:type="dxa"/>
              <w:bottom w:w="85" w:type="dxa"/>
              <w:right w:w="130" w:type="dxa"/>
            </w:tcMar>
          </w:tcPr>
          <w:p>
            <w:pPr>
              <w:spacing w:line="248" w:lineRule="auto"/>
            </w:pPr>
            <w:r>
              <w:rPr>
                <w:sz w:val="19"/>
                <w:szCs w:val="19"/>
              </w:rPr>
              <w:t xml:space="preserve">Month-to-date default is the previous month (M-1).</w:t>
            </w:r>
          </w:p>
        </w:tc>
      </w:tr>
      <w:tr>
        <w:tc>
          <w:tcPr>
            <w:tcW w:w="2600" w:type="dxa"/>
            <w:shd w:val="clear" w:color="auto" w:fill="FFFFFF"/>
            <w:tcMar>
              <w:top w:w="85" w:type="dxa"/>
              <w:left w:w="130" w:type="dxa"/>
              <w:bottom w:w="85" w:type="dxa"/>
              <w:right w:w="130" w:type="dxa"/>
            </w:tcMar>
          </w:tcPr>
          <w:p>
            <w:pPr>
              <w:spacing w:line="248" w:lineRule="auto"/>
            </w:pPr>
            <w:r>
              <w:rPr>
                <w:b/>
                <w:bCs/>
                <w:sz w:val="19"/>
                <w:szCs w:val="19"/>
              </w:rPr>
              <w:t xml:space="preserve">Region</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Added</w:t>
            </w:r>
          </w:p>
        </w:tc>
        <w:tc>
          <w:tcPr>
            <w:tcW w:w="5780" w:type="dxa"/>
            <w:shd w:val="clear" w:color="auto" w:fill="FFFFFF"/>
            <w:tcMar>
              <w:top w:w="85" w:type="dxa"/>
              <w:left w:w="130" w:type="dxa"/>
              <w:bottom w:w="85" w:type="dxa"/>
              <w:right w:w="130" w:type="dxa"/>
            </w:tcMar>
          </w:tcPr>
          <w:p>
            <w:pPr>
              <w:spacing w:line="248" w:lineRule="auto"/>
            </w:pPr>
            <w:r>
              <w:rPr>
                <w:sz w:val="19"/>
                <w:szCs w:val="19"/>
              </w:rPr>
              <w:t xml:space="preserve">Added at first revision.</w:t>
            </w:r>
          </w:p>
        </w:tc>
      </w:tr>
      <w:tr>
        <w:tc>
          <w:tcPr>
            <w:tcW w:w="2600" w:type="dxa"/>
            <w:shd w:val="clear" w:color="auto" w:fill="FFFFFF"/>
            <w:tcMar>
              <w:top w:w="85" w:type="dxa"/>
              <w:left w:w="130" w:type="dxa"/>
              <w:bottom w:w="85" w:type="dxa"/>
              <w:right w:w="130" w:type="dxa"/>
            </w:tcMar>
          </w:tcPr>
          <w:p>
            <w:pPr>
              <w:spacing w:line="248" w:lineRule="auto"/>
            </w:pPr>
            <w:r>
              <w:rPr>
                <w:b/>
                <w:bCs/>
                <w:sz w:val="19"/>
                <w:szCs w:val="19"/>
              </w:rPr>
              <w:t xml:space="preserve">Town</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Retained</w:t>
            </w:r>
          </w:p>
        </w:tc>
        <w:tc>
          <w:tcPr>
            <w:tcW w:w="5780" w:type="dxa"/>
            <w:shd w:val="clear" w:color="auto" w:fill="FFFFFF"/>
            <w:tcMar>
              <w:top w:w="85" w:type="dxa"/>
              <w:left w:w="130" w:type="dxa"/>
              <w:bottom w:w="85" w:type="dxa"/>
              <w:right w:w="130" w:type="dxa"/>
            </w:tcMar>
          </w:tcPr>
          <w:p>
            <w:pPr>
              <w:spacing w:line="248" w:lineRule="auto"/>
            </w:pPr>
            <w:r>
              <w:rPr>
                <w:sz w:val="19"/>
                <w:szCs w:val="19"/>
              </w:rPr>
              <w:t xml:space="preserve">—</w:t>
            </w:r>
          </w:p>
        </w:tc>
      </w:tr>
      <w:tr>
        <w:tc>
          <w:tcPr>
            <w:tcW w:w="2600" w:type="dxa"/>
            <w:shd w:val="clear" w:color="auto" w:fill="FFFFFF"/>
            <w:tcMar>
              <w:top w:w="85" w:type="dxa"/>
              <w:left w:w="130" w:type="dxa"/>
              <w:bottom w:w="85" w:type="dxa"/>
              <w:right w:w="130" w:type="dxa"/>
            </w:tcMar>
          </w:tcPr>
          <w:p>
            <w:pPr>
              <w:spacing w:line="248" w:lineRule="auto"/>
            </w:pPr>
            <w:r>
              <w:rPr>
                <w:b/>
                <w:bCs/>
                <w:sz w:val="19"/>
                <w:szCs w:val="19"/>
              </w:rPr>
              <w:t xml:space="preserve">Channel Type</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Retained</w:t>
            </w:r>
          </w:p>
        </w:tc>
        <w:tc>
          <w:tcPr>
            <w:tcW w:w="5780" w:type="dxa"/>
            <w:shd w:val="clear" w:color="auto" w:fill="FFFFFF"/>
            <w:tcMar>
              <w:top w:w="85" w:type="dxa"/>
              <w:left w:w="130" w:type="dxa"/>
              <w:bottom w:w="85" w:type="dxa"/>
              <w:right w:w="130" w:type="dxa"/>
            </w:tcMar>
          </w:tcPr>
          <w:p>
            <w:pPr>
              <w:spacing w:line="248" w:lineRule="auto"/>
            </w:pPr>
            <w:r>
              <w:rPr>
                <w:sz w:val="19"/>
                <w:szCs w:val="19"/>
              </w:rPr>
              <w:t xml:space="preserve">Channel names displayed in a hierarchy structure.</w:t>
            </w:r>
          </w:p>
        </w:tc>
      </w:tr>
      <w:tr>
        <w:tc>
          <w:tcPr>
            <w:tcW w:w="2600" w:type="dxa"/>
            <w:shd w:val="clear" w:color="auto" w:fill="FFFFFF"/>
            <w:tcMar>
              <w:top w:w="85" w:type="dxa"/>
              <w:left w:w="130" w:type="dxa"/>
              <w:bottom w:w="85" w:type="dxa"/>
              <w:right w:w="130" w:type="dxa"/>
            </w:tcMar>
          </w:tcPr>
          <w:p>
            <w:pPr>
              <w:spacing w:line="248" w:lineRule="auto"/>
            </w:pPr>
            <w:r>
              <w:rPr>
                <w:b/>
                <w:bCs/>
                <w:sz w:val="19"/>
                <w:szCs w:val="19"/>
              </w:rPr>
              <w:t xml:space="preserve">Category</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Retained</w:t>
            </w:r>
          </w:p>
        </w:tc>
        <w:tc>
          <w:tcPr>
            <w:tcW w:w="5780" w:type="dxa"/>
            <w:shd w:val="clear" w:color="auto" w:fill="FFFFFF"/>
            <w:tcMar>
              <w:top w:w="85" w:type="dxa"/>
              <w:left w:w="130" w:type="dxa"/>
              <w:bottom w:w="85" w:type="dxa"/>
              <w:right w:w="130" w:type="dxa"/>
            </w:tcMar>
          </w:tcPr>
          <w:p>
            <w:pPr>
              <w:spacing w:line="248" w:lineRule="auto"/>
            </w:pPr>
            <w:r>
              <w:rPr>
                <w:sz w:val="19"/>
                <w:szCs w:val="19"/>
              </w:rPr>
              <w:t xml:space="preserve">—</w:t>
            </w:r>
          </w:p>
        </w:tc>
      </w:tr>
      <w:tr>
        <w:tc>
          <w:tcPr>
            <w:tcW w:w="2600" w:type="dxa"/>
            <w:shd w:val="clear" w:color="auto" w:fill="FFFFFF"/>
            <w:tcMar>
              <w:top w:w="85" w:type="dxa"/>
              <w:left w:w="130" w:type="dxa"/>
              <w:bottom w:w="85" w:type="dxa"/>
              <w:right w:w="130" w:type="dxa"/>
            </w:tcMar>
          </w:tcPr>
          <w:p>
            <w:pPr>
              <w:spacing w:line="248" w:lineRule="auto"/>
            </w:pPr>
            <w:r>
              <w:rPr>
                <w:b/>
                <w:bCs/>
                <w:sz w:val="19"/>
                <w:szCs w:val="19"/>
              </w:rPr>
              <w:t xml:space="preserve">Distributor</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Retained</w:t>
            </w:r>
          </w:p>
        </w:tc>
        <w:tc>
          <w:tcPr>
            <w:tcW w:w="5780" w:type="dxa"/>
            <w:shd w:val="clear" w:color="auto" w:fill="FFFFFF"/>
            <w:tcMar>
              <w:top w:w="85" w:type="dxa"/>
              <w:left w:w="130" w:type="dxa"/>
              <w:bottom w:w="85" w:type="dxa"/>
              <w:right w:w="130" w:type="dxa"/>
            </w:tcMar>
          </w:tcPr>
          <w:p>
            <w:pPr>
              <w:spacing w:line="248" w:lineRule="auto"/>
            </w:pPr>
            <w:r>
              <w:rPr>
                <w:sz w:val="19"/>
                <w:szCs w:val="19"/>
              </w:rPr>
              <w:t xml:space="preserve">—</w:t>
            </w:r>
          </w:p>
        </w:tc>
      </w:tr>
      <w:tr>
        <w:tc>
          <w:tcPr>
            <w:tcW w:w="2600" w:type="dxa"/>
            <w:shd w:val="clear" w:color="auto" w:fill="FFFFFF"/>
            <w:tcMar>
              <w:top w:w="85" w:type="dxa"/>
              <w:left w:w="130" w:type="dxa"/>
              <w:bottom w:w="85" w:type="dxa"/>
              <w:right w:w="130" w:type="dxa"/>
            </w:tcMar>
          </w:tcPr>
          <w:p>
            <w:pPr>
              <w:spacing w:line="248" w:lineRule="auto"/>
            </w:pPr>
            <w:r>
              <w:rPr>
                <w:b/>
                <w:bCs/>
                <w:sz w:val="19"/>
                <w:szCs w:val="19"/>
              </w:rPr>
              <w:t xml:space="preserve">Date</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Removed</w:t>
            </w:r>
          </w:p>
        </w:tc>
        <w:tc>
          <w:tcPr>
            <w:tcW w:w="5780" w:type="dxa"/>
            <w:shd w:val="clear" w:color="auto" w:fill="FFFFFF"/>
            <w:tcMar>
              <w:top w:w="85" w:type="dxa"/>
              <w:left w:w="130" w:type="dxa"/>
              <w:bottom w:w="85" w:type="dxa"/>
              <w:right w:w="130" w:type="dxa"/>
            </w:tcMar>
          </w:tcPr>
          <w:p>
            <w:pPr>
              <w:spacing w:line="248" w:lineRule="auto"/>
            </w:pPr>
            <w:r>
              <w:rPr>
                <w:sz w:val="19"/>
                <w:szCs w:val="19"/>
              </w:rPr>
              <w:t xml:space="preserve">Removed at first revision.</w:t>
            </w:r>
          </w:p>
        </w:tc>
      </w:tr>
      <w:tr>
        <w:tc>
          <w:tcPr>
            <w:tcW w:w="2600" w:type="dxa"/>
            <w:shd w:val="clear" w:color="auto" w:fill="FFFFFF"/>
            <w:tcMar>
              <w:top w:w="85" w:type="dxa"/>
              <w:left w:w="130" w:type="dxa"/>
              <w:bottom w:w="85" w:type="dxa"/>
              <w:right w:w="130" w:type="dxa"/>
            </w:tcMar>
          </w:tcPr>
          <w:p>
            <w:pPr>
              <w:spacing w:line="248" w:lineRule="auto"/>
            </w:pPr>
            <w:r>
              <w:rPr>
                <w:b/>
                <w:bCs/>
                <w:sz w:val="19"/>
                <w:szCs w:val="19"/>
              </w:rPr>
              <w:t xml:space="preserve">Business Unit</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Removed</w:t>
            </w:r>
          </w:p>
        </w:tc>
        <w:tc>
          <w:tcPr>
            <w:tcW w:w="5780" w:type="dxa"/>
            <w:shd w:val="clear" w:color="auto" w:fill="FFFFFF"/>
            <w:tcMar>
              <w:top w:w="85" w:type="dxa"/>
              <w:left w:w="130" w:type="dxa"/>
              <w:bottom w:w="85" w:type="dxa"/>
              <w:right w:w="130" w:type="dxa"/>
            </w:tcMar>
          </w:tcPr>
          <w:p>
            <w:pPr>
              <w:spacing w:line="248" w:lineRule="auto"/>
            </w:pPr>
            <w:r>
              <w:rPr>
                <w:sz w:val="19"/>
                <w:szCs w:val="19"/>
              </w:rPr>
              <w:t xml:space="preserve">Removed at first revision.</w:t>
            </w:r>
          </w:p>
        </w:tc>
      </w:tr>
      <w:tr>
        <w:tc>
          <w:tcPr>
            <w:tcW w:w="2600" w:type="dxa"/>
            <w:shd w:val="clear" w:color="auto" w:fill="FFFFFF"/>
            <w:tcMar>
              <w:top w:w="85" w:type="dxa"/>
              <w:left w:w="130" w:type="dxa"/>
              <w:bottom w:w="85" w:type="dxa"/>
              <w:right w:w="130" w:type="dxa"/>
            </w:tcMar>
          </w:tcPr>
          <w:p>
            <w:pPr>
              <w:spacing w:line="248" w:lineRule="auto"/>
            </w:pPr>
            <w:r>
              <w:rPr>
                <w:b/>
                <w:bCs/>
                <w:sz w:val="19"/>
                <w:szCs w:val="19"/>
              </w:rPr>
              <w:t xml:space="preserve">Order Source</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Removed</w:t>
            </w:r>
          </w:p>
        </w:tc>
        <w:tc>
          <w:tcPr>
            <w:tcW w:w="5780" w:type="dxa"/>
            <w:shd w:val="clear" w:color="auto" w:fill="FFFFFF"/>
            <w:tcMar>
              <w:top w:w="85" w:type="dxa"/>
              <w:left w:w="130" w:type="dxa"/>
              <w:bottom w:w="85" w:type="dxa"/>
              <w:right w:w="130" w:type="dxa"/>
            </w:tcMar>
          </w:tcPr>
          <w:p>
            <w:pPr>
              <w:spacing w:line="248" w:lineRule="auto"/>
            </w:pPr>
            <w:r>
              <w:rPr>
                <w:sz w:val="19"/>
                <w:szCs w:val="19"/>
              </w:rPr>
              <w:t xml:space="preserve">Removed at first revision.</w:t>
            </w:r>
          </w:p>
        </w:tc>
      </w:tr>
    </w:tbl>
    <w:p>
      <w:pPr>
        <w:pStyle w:val="Heading2"/>
        <w:spacing w:before="260" w:after="110"/>
      </w:pPr>
      <w:r>
        <w:rPr>
          <w:b/>
          <w:bCs/>
          <w:color w:val="8E24AA"/>
          <w:sz w:val="23"/>
          <w:szCs w:val="23"/>
        </w:rPr>
        <w:t xml:space="preserve">3.2  KPIs</w:t>
      </w:r>
    </w:p>
    <w:tbl>
      <w:tblPr>
        <w:tblW w:w="1008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000" w:firstRow="0" w:lastRow="0" w:firstColumn="0" w:lastColumn="0" w:noHBand="0" w:noVBand="0"/>
      </w:tblPr>
      <w:tblGrid>
        <w:gridCol w:w="3200"/>
        <w:gridCol w:w="6880"/>
      </w:tblGrid>
      <w:tr>
        <w:trPr>
          <w:tblHeader/>
        </w:trPr>
        <w:tc>
          <w:tcPr>
            <w:tcW w:w="32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KPI</w:t>
            </w:r>
          </w:p>
        </w:tc>
        <w:tc>
          <w:tcPr>
            <w:tcW w:w="688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Treatment as approved</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Primary Sales — Value &amp; Volume</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Retained. Volume expressed in Carton and Pieces.</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Secondary Sales — Value &amp; Volume</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Added at first revision, shown alongside primary. Volume expressed in Carton and Pieces.</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Total Store Count</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Retained.</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Productive Outlets (%)</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Retained.</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Segment-wise Sales</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Added at first revision — General Trade, Export and Modern Trade. Primary data source only.</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YTD</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Calculated from 1 July, the fiscal year start. Comparison is current month against the same month of the previous year — for example August 2026 against August 2025.</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Modern Trade</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Currently tagged as a store type in SAP. Its MTD values are sourced from primary sales and must also be aggregated into secondary sales — where primary is PKR 1,000 and Modern Trade within it is PKR 300, that 300 is also added to secondary. Subject to §4, item OP-01.</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Total Discount</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Card removed at first revision.</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Business Unit-wise Sales</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Card removed at first revision.</w:t>
            </w:r>
          </w:p>
        </w:tc>
      </w:tr>
    </w:tbl>
    <w:p>
      <w:pPr>
        <w:pStyle w:val="Heading2"/>
        <w:spacing w:before="260" w:after="110"/>
      </w:pPr>
      <w:r>
        <w:rPr>
          <w:b/>
          <w:bCs/>
          <w:color w:val="8E24AA"/>
          <w:sz w:val="23"/>
          <w:szCs w:val="23"/>
        </w:rPr>
        <w:t xml:space="preserve">3.3  Visuals and sections</w:t>
      </w:r>
    </w:p>
    <w:tbl>
      <w:tblPr>
        <w:tblW w:w="1008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000" w:firstRow="0" w:lastRow="0" w:firstColumn="0" w:lastColumn="0" w:noHBand="0" w:noVBand="0"/>
      </w:tblPr>
      <w:tblGrid>
        <w:gridCol w:w="3200"/>
        <w:gridCol w:w="6880"/>
      </w:tblGrid>
      <w:tr>
        <w:trPr>
          <w:tblHeader/>
        </w:trPr>
        <w:tc>
          <w:tcPr>
            <w:tcW w:w="32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Visual / Section</w:t>
            </w:r>
          </w:p>
        </w:tc>
        <w:tc>
          <w:tcPr>
            <w:tcW w:w="688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Treatment as approved</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Channel Type Mix</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Changed from vertical bar to horizontal bar at first revision.</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Distributor Performance</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Added — Target, Volume and Value (%), Total Outlets, Productive Outlets, and Drop Size (average sales value per outlet, plus overall distributor volume).</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Region-wise Targets &amp; Achievement</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Added — primary and secondary.</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Top Brands</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Added — primary and secondary.</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Net Sale by Category</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Added — primary and secondary.</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Classification-wise Productivity &amp; Sales</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Added. Pending the formula and secondary sales data — see §4, item OP-02.</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SKU-level breakdown</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Removed at first revision.</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Distributor Sales Concentration</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Removed at first revision.</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Town Sales Concentration</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Removed at first revision.</w:t>
            </w:r>
          </w:p>
        </w:tc>
      </w:tr>
      <w:tr>
        <w:tc>
          <w:tcPr>
            <w:tcW w:w="3200" w:type="dxa"/>
            <w:shd w:val="clear" w:color="auto" w:fill="FFFFFF"/>
            <w:tcMar>
              <w:top w:w="85" w:type="dxa"/>
              <w:left w:w="130" w:type="dxa"/>
              <w:bottom w:w="85" w:type="dxa"/>
              <w:right w:w="130" w:type="dxa"/>
            </w:tcMar>
          </w:tcPr>
          <w:p>
            <w:pPr>
              <w:spacing w:line="248" w:lineRule="auto"/>
            </w:pPr>
            <w:r>
              <w:rPr>
                <w:b/>
                <w:bCs/>
                <w:sz w:val="19"/>
                <w:szCs w:val="19"/>
              </w:rPr>
              <w:t xml:space="preserve">Business Unit Mix</w:t>
            </w:r>
          </w:p>
        </w:tc>
        <w:tc>
          <w:tcPr>
            <w:tcW w:w="6880" w:type="dxa"/>
            <w:shd w:val="clear" w:color="auto" w:fill="FFFFFF"/>
            <w:tcMar>
              <w:top w:w="85" w:type="dxa"/>
              <w:left w:w="130" w:type="dxa"/>
              <w:bottom w:w="85" w:type="dxa"/>
              <w:right w:w="130" w:type="dxa"/>
            </w:tcMar>
          </w:tcPr>
          <w:p>
            <w:pPr>
              <w:spacing w:line="248" w:lineRule="auto"/>
            </w:pPr>
            <w:r>
              <w:rPr>
                <w:sz w:val="19"/>
                <w:szCs w:val="19"/>
              </w:rPr>
              <w:t xml:space="preserve">Removed at first revision.</w:t>
            </w:r>
          </w:p>
        </w:tc>
      </w:tr>
    </w:tbl>
    <w:p>
      <w:pPr>
        <w:pStyle w:val="Heading2"/>
        <w:spacing w:before="260" w:after="110"/>
      </w:pPr>
      <w:r>
        <w:rPr>
          <w:b/>
          <w:bCs/>
          <w:color w:val="8E24AA"/>
          <w:sz w:val="23"/>
          <w:szCs w:val="23"/>
        </w:rPr>
        <w:t xml:space="preserve">3.4  Business rules applied</w:t>
      </w:r>
    </w:p>
    <w:p>
      <w:pPr>
        <w:pStyle w:val="ListParagraph"/>
        <w:numPr>
          <w:ilvl w:val="0"/>
          <w:numId w:val="2"/>
        </w:numPr>
        <w:spacing w:after="70" w:line="264" w:lineRule="auto"/>
      </w:pPr>
      <w:r>
        <w:t xml:space="preserve">Fiscal year begins 1 July. YTD figures are calculated from that date.</w:t>
      </w:r>
    </w:p>
    <w:p>
      <w:pPr>
        <w:pStyle w:val="ListParagraph"/>
        <w:numPr>
          <w:ilvl w:val="0"/>
          <w:numId w:val="2"/>
        </w:numPr>
        <w:spacing w:after="70" w:line="264" w:lineRule="auto"/>
      </w:pPr>
      <w:r>
        <w:t xml:space="preserve">The YTD comparison is the current month against the same month of the previous year.</w:t>
      </w:r>
    </w:p>
    <w:p>
      <w:pPr>
        <w:pStyle w:val="ListParagraph"/>
        <w:numPr>
          <w:ilvl w:val="0"/>
          <w:numId w:val="2"/>
        </w:numPr>
        <w:spacing w:after="70" w:line="264" w:lineRule="auto"/>
      </w:pPr>
      <w:r>
        <w:t xml:space="preserve">Month-to-date defaults to the previous month (M-1).</w:t>
      </w:r>
    </w:p>
    <w:p>
      <w:pPr>
        <w:pStyle w:val="ListParagraph"/>
        <w:numPr>
          <w:ilvl w:val="0"/>
          <w:numId w:val="2"/>
        </w:numPr>
        <w:spacing w:after="70" w:line="264" w:lineRule="auto"/>
      </w:pPr>
      <w:r>
        <w:t xml:space="preserve">Volume is expressed in Carton and in Pieces.</w:t>
      </w:r>
    </w:p>
    <w:p>
      <w:pPr>
        <w:pStyle w:val="ListParagraph"/>
        <w:numPr>
          <w:ilvl w:val="0"/>
          <w:numId w:val="2"/>
        </w:numPr>
        <w:spacing w:after="70" w:line="264" w:lineRule="auto"/>
      </w:pPr>
      <w:r>
        <w:t xml:space="preserve">Channel names are displayed in a hierarchy structure.</w:t>
      </w:r>
    </w:p>
    <w:p>
      <w:pPr>
        <w:pStyle w:val="ListParagraph"/>
        <w:numPr>
          <w:ilvl w:val="0"/>
          <w:numId w:val="2"/>
        </w:numPr>
        <w:spacing w:after="70" w:line="264" w:lineRule="auto"/>
      </w:pPr>
      <w:r>
        <w:t xml:space="preserve">Modern Trade is tagged as a store type in SAP; its MTD values are sourced from primary sales and are also aggregated into secondary sales, subject to OP-01.</w:t>
      </w:r>
    </w:p>
    <w:p>
      <w:pPr>
        <w:pStyle w:val="ListParagraph"/>
        <w:numPr>
          <w:ilvl w:val="0"/>
          <w:numId w:val="2"/>
        </w:numPr>
        <w:spacing w:after="70" w:line="264" w:lineRule="auto"/>
      </w:pPr>
      <w:r>
        <w:t xml:space="preserve">Segment-wise Sales is derived from the primary data source only.</w:t>
      </w:r>
    </w:p>
    <w:p>
      <w:pPr>
        <w:pStyle w:val="ListParagraph"/>
        <w:numPr>
          <w:ilvl w:val="0"/>
          <w:numId w:val="2"/>
        </w:numPr>
        <w:spacing w:after="70" w:line="264" w:lineRule="auto"/>
      </w:pPr>
      <w:r>
        <w:t xml:space="preserve">Metric definitions otherwise follow SAP standard Sales and Distribution practice, per BRD §4.3. A departure from that practice is agreed as a Change Request.</w:t>
      </w:r>
    </w:p>
    <w:p>
      <w:r>
        <w:br w:type="page"/>
      </w:r>
    </w:p>
    <w:p>
      <w:pPr>
        <w:pStyle w:val="Heading1"/>
        <w:pBdr>
          <w:bottom w:val="single" w:sz="12" w:space="6" w:color="8E24AA"/>
        </w:pBdr>
        <w:spacing w:before="340" w:after="170"/>
      </w:pPr>
      <w:r>
        <w:rPr>
          <w:b/>
          <w:bCs/>
          <w:color w:val="3F3F46"/>
          <w:sz w:val="28"/>
          <w:szCs w:val="28"/>
        </w:rPr>
        <w:t xml:space="preserve">4.  Open items carried at sign-off</w:t>
      </w:r>
    </w:p>
    <w:p>
      <w:pPr>
        <w:spacing w:after="140" w:line="268" w:lineRule="auto"/>
      </w:pPr>
      <w:r>
        <w:t xml:space="preserve">Three items were raised during review and remain with Ana &amp; Batla. The design is approved and the dashboard is accepted with these carried as conditional items. Each is built to the treatment recorded in §3; a confirmation that agrees with that treatment requires no rework, and a confirmation that departs from it is assessed under Change Control.</w:t>
      </w:r>
    </w:p>
    <w:tbl>
      <w:tblPr>
        <w:tblW w:w="1008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000" w:firstRow="0" w:lastRow="0" w:firstColumn="0" w:lastColumn="0" w:noHBand="0" w:noVBand="0"/>
      </w:tblPr>
      <w:tblGrid>
        <w:gridCol w:w="900"/>
        <w:gridCol w:w="3300"/>
        <w:gridCol w:w="1700"/>
        <w:gridCol w:w="4180"/>
      </w:tblGrid>
      <w:tr>
        <w:trPr>
          <w:tblHeader/>
        </w:trPr>
        <w:tc>
          <w:tcPr>
            <w:tcW w:w="9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ID</w:t>
            </w:r>
          </w:p>
        </w:tc>
        <w:tc>
          <w:tcPr>
            <w:tcW w:w="33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Item</w:t>
            </w:r>
          </w:p>
        </w:tc>
        <w:tc>
          <w:tcPr>
            <w:tcW w:w="17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Owner</w:t>
            </w:r>
          </w:p>
        </w:tc>
        <w:tc>
          <w:tcPr>
            <w:tcW w:w="418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Treatment at sign-off</w:t>
            </w:r>
          </w:p>
        </w:tc>
      </w:tr>
      <w:tr>
        <w:tc>
          <w:tcPr>
            <w:tcW w:w="900" w:type="dxa"/>
            <w:shd w:val="clear" w:color="auto" w:fill="FFFFFF"/>
            <w:tcMar>
              <w:top w:w="85" w:type="dxa"/>
              <w:left w:w="130" w:type="dxa"/>
              <w:bottom w:w="85" w:type="dxa"/>
              <w:right w:w="130" w:type="dxa"/>
            </w:tcMar>
          </w:tcPr>
          <w:p>
            <w:pPr>
              <w:spacing w:line="248" w:lineRule="auto"/>
            </w:pPr>
            <w:r>
              <w:rPr>
                <w:b/>
                <w:bCs/>
                <w:sz w:val="19"/>
                <w:szCs w:val="19"/>
              </w:rPr>
              <w:t xml:space="preserve">OP-01</w:t>
            </w:r>
          </w:p>
        </w:tc>
        <w:tc>
          <w:tcPr>
            <w:tcW w:w="3300" w:type="dxa"/>
            <w:shd w:val="clear" w:color="auto" w:fill="FFFFFF"/>
            <w:tcMar>
              <w:top w:w="85" w:type="dxa"/>
              <w:left w:w="130" w:type="dxa"/>
              <w:bottom w:w="85" w:type="dxa"/>
              <w:right w:w="130" w:type="dxa"/>
            </w:tcMar>
          </w:tcPr>
          <w:p>
            <w:pPr>
              <w:spacing w:line="248" w:lineRule="auto"/>
            </w:pPr>
            <w:r>
              <w:rPr>
                <w:sz w:val="19"/>
                <w:szCs w:val="19"/>
              </w:rPr>
              <w:t xml:space="preserve">Modern Trade treatment in secondary sales aggregation</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Irqam, Ana &amp; Batla</w:t>
            </w:r>
          </w:p>
        </w:tc>
        <w:tc>
          <w:tcPr>
            <w:tcW w:w="4180" w:type="dxa"/>
            <w:shd w:val="clear" w:color="auto" w:fill="FFFFFF"/>
            <w:tcMar>
              <w:top w:w="85" w:type="dxa"/>
              <w:left w:w="130" w:type="dxa"/>
              <w:bottom w:w="85" w:type="dxa"/>
              <w:right w:w="130" w:type="dxa"/>
            </w:tcMar>
          </w:tcPr>
          <w:p>
            <w:pPr>
              <w:spacing w:line="248" w:lineRule="auto"/>
            </w:pPr>
            <w:r>
              <w:rPr>
                <w:sz w:val="19"/>
                <w:szCs w:val="19"/>
              </w:rPr>
              <w:t xml:space="preserve">Built to the rule in §3.2 — Modern Trade value sourced from primary and also added to secondary. Confirmation awaited.</w:t>
            </w:r>
          </w:p>
        </w:tc>
      </w:tr>
      <w:tr>
        <w:tc>
          <w:tcPr>
            <w:tcW w:w="900" w:type="dxa"/>
            <w:shd w:val="clear" w:color="auto" w:fill="FFFFFF"/>
            <w:tcMar>
              <w:top w:w="85" w:type="dxa"/>
              <w:left w:w="130" w:type="dxa"/>
              <w:bottom w:w="85" w:type="dxa"/>
              <w:right w:w="130" w:type="dxa"/>
            </w:tcMar>
          </w:tcPr>
          <w:p>
            <w:pPr>
              <w:spacing w:line="248" w:lineRule="auto"/>
            </w:pPr>
            <w:r>
              <w:rPr>
                <w:b/>
                <w:bCs/>
                <w:sz w:val="19"/>
                <w:szCs w:val="19"/>
              </w:rPr>
              <w:t xml:space="preserve">OP-02</w:t>
            </w:r>
          </w:p>
        </w:tc>
        <w:tc>
          <w:tcPr>
            <w:tcW w:w="3300" w:type="dxa"/>
            <w:shd w:val="clear" w:color="auto" w:fill="FFFFFF"/>
            <w:tcMar>
              <w:top w:w="85" w:type="dxa"/>
              <w:left w:w="130" w:type="dxa"/>
              <w:bottom w:w="85" w:type="dxa"/>
              <w:right w:w="130" w:type="dxa"/>
            </w:tcMar>
          </w:tcPr>
          <w:p>
            <w:pPr>
              <w:spacing w:line="248" w:lineRule="auto"/>
            </w:pPr>
            <w:r>
              <w:rPr>
                <w:sz w:val="19"/>
                <w:szCs w:val="19"/>
              </w:rPr>
              <w:t xml:space="preserve">Formula and secondary sales data for Classification-wise Productivity &amp; Sales</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Irqam, Ana &amp; Batla</w:t>
            </w:r>
          </w:p>
        </w:tc>
        <w:tc>
          <w:tcPr>
            <w:tcW w:w="4180" w:type="dxa"/>
            <w:shd w:val="clear" w:color="auto" w:fill="FFFFFF"/>
            <w:tcMar>
              <w:top w:w="85" w:type="dxa"/>
              <w:left w:w="130" w:type="dxa"/>
              <w:bottom w:w="85" w:type="dxa"/>
              <w:right w:w="130" w:type="dxa"/>
            </w:tcMar>
          </w:tcPr>
          <w:p>
            <w:pPr>
              <w:spacing w:line="248" w:lineRule="auto"/>
            </w:pPr>
            <w:r>
              <w:rPr>
                <w:sz w:val="19"/>
                <w:szCs w:val="19"/>
              </w:rPr>
              <w:t xml:space="preserve">Section is laid out and reserved in the approved design. It is populated once the formula and the secondary data are supplied.</w:t>
            </w:r>
          </w:p>
        </w:tc>
      </w:tr>
      <w:tr>
        <w:tc>
          <w:tcPr>
            <w:tcW w:w="900" w:type="dxa"/>
            <w:shd w:val="clear" w:color="auto" w:fill="FFFFFF"/>
            <w:tcMar>
              <w:top w:w="85" w:type="dxa"/>
              <w:left w:w="130" w:type="dxa"/>
              <w:bottom w:w="85" w:type="dxa"/>
              <w:right w:w="130" w:type="dxa"/>
            </w:tcMar>
          </w:tcPr>
          <w:p>
            <w:pPr>
              <w:spacing w:line="248" w:lineRule="auto"/>
            </w:pPr>
            <w:r>
              <w:rPr>
                <w:b/>
                <w:bCs/>
                <w:sz w:val="19"/>
                <w:szCs w:val="19"/>
              </w:rPr>
              <w:t xml:space="preserve">OP-03</w:t>
            </w:r>
          </w:p>
        </w:tc>
        <w:tc>
          <w:tcPr>
            <w:tcW w:w="3300" w:type="dxa"/>
            <w:shd w:val="clear" w:color="auto" w:fill="FFFFFF"/>
            <w:tcMar>
              <w:top w:w="85" w:type="dxa"/>
              <w:left w:w="130" w:type="dxa"/>
              <w:bottom w:w="85" w:type="dxa"/>
              <w:right w:w="130" w:type="dxa"/>
            </w:tcMar>
          </w:tcPr>
          <w:p>
            <w:pPr>
              <w:spacing w:line="248" w:lineRule="auto"/>
            </w:pPr>
            <w:r>
              <w:rPr>
                <w:sz w:val="19"/>
                <w:szCs w:val="19"/>
              </w:rPr>
              <w:t xml:space="preserve">Meaning and filter treatment of the "SD" tag or exception in source data</w:t>
            </w:r>
          </w:p>
        </w:tc>
        <w:tc>
          <w:tcPr>
            <w:tcW w:w="1700" w:type="dxa"/>
            <w:shd w:val="clear" w:color="auto" w:fill="FFFFFF"/>
            <w:tcMar>
              <w:top w:w="85" w:type="dxa"/>
              <w:left w:w="130" w:type="dxa"/>
              <w:bottom w:w="85" w:type="dxa"/>
              <w:right w:w="130" w:type="dxa"/>
            </w:tcMar>
          </w:tcPr>
          <w:p>
            <w:pPr>
              <w:spacing w:line="248" w:lineRule="auto"/>
            </w:pPr>
            <w:r>
              <w:rPr>
                <w:sz w:val="19"/>
                <w:szCs w:val="19"/>
              </w:rPr>
              <w:t xml:space="preserve">Irqam, Ana &amp; Batla</w:t>
            </w:r>
          </w:p>
        </w:tc>
        <w:tc>
          <w:tcPr>
            <w:tcW w:w="4180" w:type="dxa"/>
            <w:shd w:val="clear" w:color="auto" w:fill="FFFFFF"/>
            <w:tcMar>
              <w:top w:w="85" w:type="dxa"/>
              <w:left w:w="130" w:type="dxa"/>
              <w:bottom w:w="85" w:type="dxa"/>
              <w:right w:w="130" w:type="dxa"/>
            </w:tcMar>
          </w:tcPr>
          <w:p>
            <w:pPr>
              <w:spacing w:line="248" w:lineRule="auto"/>
            </w:pPr>
            <w:r>
              <w:rPr>
                <w:sz w:val="19"/>
                <w:szCs w:val="19"/>
              </w:rPr>
              <w:t xml:space="preserve">Records carrying the tag are currently included and not filtered out. Clarification awaited.</w:t>
            </w:r>
          </w:p>
        </w:tc>
      </w:tr>
    </w:tbl>
    <w:p>
      <w:pPr>
        <w:spacing w:after="160"/>
      </w:pPr>
    </w:p>
    <w:tbl>
      <w:tblPr>
        <w:tblW w:w="10080" w:type="dxa"/>
        <w:tblBorders>
          <w:top w:val="none" w:sz="0" w:space="0" w:color="FFFFFF"/>
          <w:left w:val="single" w:sz="18" w:space="0" w:color="8E24AA"/>
          <w:bottom w:val="none" w:sz="0" w:space="0" w:color="FFFFFF"/>
          <w:right w:val="none" w:sz="0" w:space="0" w:color="FFFFFF"/>
          <w:insideH w:val="none" w:sz="0" w:space="0" w:color="FFFFFF"/>
          <w:insideV w:val="none" w:sz="0" w:space="0" w:color="FFFFFF"/>
        </w:tblBorders>
        <w:tblCellMar>
          <w:left w:w="10" w:type="dxa"/>
          <w:right w:w="10" w:type="dxa"/>
        </w:tblCellMar>
        <w:tblLook w:val="0000"/>
      </w:tblPr>
      <w:tblGrid>
        <w:gridCol w:w="10080"/>
      </w:tblGrid>
      <w:tr>
        <w:tc>
          <w:tcPr>
            <w:tcW w:w="10080" w:type="dxa"/>
            <w:shd w:val="clear" w:color="auto" w:fill="F4F2F8"/>
            <w:tcMar>
              <w:top w:w="130" w:type="dxa"/>
              <w:left w:w="200" w:type="dxa"/>
              <w:bottom w:w="130" w:type="dxa"/>
              <w:right w:w="200" w:type="dxa"/>
            </w:tcMar>
          </w:tcPr>
          <w:p>
            <w:pPr>
              <w:spacing w:line="268" w:lineRule="auto"/>
            </w:pPr>
            <w:r>
              <w:rPr>
                <w:b/>
                <w:bCs/>
                <w:color w:val="8E24AA"/>
              </w:rPr>
              <w:t xml:space="preserve">How these are closed.  </w:t>
            </w:r>
            <w:r>
              <w:t xml:space="preserve">Ana &amp; Batla provides the three confirmations in writing by Friday 5 September 2026, five working days from issue. A confirmation that matches the treatment recorded above is applied as a correction at no cost and within the current schedule. A confirmation that departs from it, or one received after that date, is assessed by Technaptix and, where it changes a rule already built against, raised as a Change Request under Project Plan §7. Where no response is received, the treatment recorded above stands as the agreed rule.</w:t>
            </w:r>
          </w:p>
        </w:tc>
      </w:tr>
    </w:tbl>
    <w:p>
      <w:r>
        <w:br w:type="page"/>
      </w:r>
    </w:p>
    <w:p>
      <w:pPr>
        <w:pStyle w:val="Heading1"/>
        <w:pBdr>
          <w:bottom w:val="single" w:sz="12" w:space="6" w:color="8E24AA"/>
        </w:pBdr>
        <w:spacing w:before="340" w:after="170"/>
      </w:pPr>
      <w:r>
        <w:rPr>
          <w:b/>
          <w:bCs/>
          <w:color w:val="3F3F46"/>
          <w:sz w:val="28"/>
          <w:szCs w:val="28"/>
        </w:rPr>
        <w:t xml:space="preserve">5.  Acceptance</w:t>
      </w:r>
    </w:p>
    <w:p>
      <w:pPr>
        <w:spacing w:after="140" w:line="268" w:lineRule="auto"/>
      </w:pPr>
      <w:r>
        <w:t xml:space="preserve">Acceptance of the first dashboard is the approval of its design and of the data displayed through the hosted application. Ana &amp; Batla has five working days to accept, or to reject in writing citing the unmet criterion. Where no written response is received within five working days, the deliverable is deemed accepted, per BRD §6.1.</w:t>
      </w:r>
    </w:p>
    <w:tbl>
      <w:tblPr>
        <w:tblW w:w="1008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000" w:firstRow="0" w:lastRow="0" w:firstColumn="0" w:lastColumn="0" w:noHBand="0" w:noVBand="0"/>
      </w:tblPr>
      <w:tblGrid>
        <w:gridCol w:w="900"/>
        <w:gridCol w:w="4600"/>
        <w:gridCol w:w="4580"/>
      </w:tblGrid>
      <w:tr>
        <w:trPr>
          <w:tblHeader/>
        </w:trPr>
        <w:tc>
          <w:tcPr>
            <w:tcW w:w="9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ID</w:t>
            </w:r>
          </w:p>
        </w:tc>
        <w:tc>
          <w:tcPr>
            <w:tcW w:w="460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Acceptance criterion</w:t>
            </w:r>
          </w:p>
        </w:tc>
        <w:tc>
          <w:tcPr>
            <w:tcW w:w="4580" w:type="dxa"/>
            <w:shd w:val="clear" w:color="auto" w:fill="8E24AA"/>
            <w:tcMar>
              <w:top w:w="85" w:type="dxa"/>
              <w:left w:w="130" w:type="dxa"/>
              <w:bottom w:w="85" w:type="dxa"/>
              <w:right w:w="130" w:type="dxa"/>
            </w:tcMar>
          </w:tcPr>
          <w:p>
            <w:pPr>
              <w:spacing w:line="248" w:lineRule="auto"/>
            </w:pPr>
            <w:r>
              <w:rPr>
                <w:b/>
                <w:bCs/>
                <w:color w:val="FFFFFF"/>
                <w:sz w:val="19"/>
                <w:szCs w:val="19"/>
              </w:rPr>
              <w:t xml:space="preserve">Evidence</w:t>
            </w:r>
          </w:p>
        </w:tc>
      </w:tr>
      <w:tr>
        <w:tc>
          <w:tcPr>
            <w:tcW w:w="900" w:type="dxa"/>
            <w:shd w:val="clear" w:color="auto" w:fill="FFFFFF"/>
            <w:tcMar>
              <w:top w:w="85" w:type="dxa"/>
              <w:left w:w="130" w:type="dxa"/>
              <w:bottom w:w="85" w:type="dxa"/>
              <w:right w:w="130" w:type="dxa"/>
            </w:tcMar>
          </w:tcPr>
          <w:p>
            <w:pPr>
              <w:spacing w:line="248" w:lineRule="auto"/>
            </w:pPr>
            <w:r>
              <w:rPr>
                <w:b/>
                <w:bCs/>
                <w:sz w:val="19"/>
                <w:szCs w:val="19"/>
              </w:rPr>
              <w:t xml:space="preserve">AC-01</w:t>
            </w:r>
          </w:p>
        </w:tc>
        <w:tc>
          <w:tcPr>
            <w:tcW w:w="4600" w:type="dxa"/>
            <w:shd w:val="clear" w:color="auto" w:fill="FFFFFF"/>
            <w:tcMar>
              <w:top w:w="85" w:type="dxa"/>
              <w:left w:w="130" w:type="dxa"/>
              <w:bottom w:w="85" w:type="dxa"/>
              <w:right w:w="130" w:type="dxa"/>
            </w:tcMar>
          </w:tcPr>
          <w:p>
            <w:pPr>
              <w:spacing w:line="248" w:lineRule="auto"/>
            </w:pPr>
            <w:r>
              <w:rPr>
                <w:sz w:val="19"/>
                <w:szCs w:val="19"/>
              </w:rPr>
              <w:t xml:space="preserve">The design of Dashboard 1 — filters, KPIs, visuals and business rules — is as recorded in §3 and is approved by Ana &amp; Batla.</w:t>
            </w:r>
          </w:p>
        </w:tc>
        <w:tc>
          <w:tcPr>
            <w:tcW w:w="4580" w:type="dxa"/>
            <w:shd w:val="clear" w:color="auto" w:fill="FFFFFF"/>
            <w:tcMar>
              <w:top w:w="85" w:type="dxa"/>
              <w:left w:w="130" w:type="dxa"/>
              <w:bottom w:w="85" w:type="dxa"/>
              <w:right w:w="130" w:type="dxa"/>
            </w:tcMar>
          </w:tcPr>
          <w:p>
            <w:pPr>
              <w:spacing w:line="248" w:lineRule="auto"/>
            </w:pPr>
            <w:r>
              <w:rPr>
                <w:sz w:val="19"/>
                <w:szCs w:val="19"/>
              </w:rPr>
              <w:t xml:space="preserve">Design pack reviewed against §3; signature on this document.</w:t>
            </w:r>
          </w:p>
        </w:tc>
      </w:tr>
      <w:tr>
        <w:tc>
          <w:tcPr>
            <w:tcW w:w="900" w:type="dxa"/>
            <w:shd w:val="clear" w:color="auto" w:fill="FFFFFF"/>
            <w:tcMar>
              <w:top w:w="85" w:type="dxa"/>
              <w:left w:w="130" w:type="dxa"/>
              <w:bottom w:w="85" w:type="dxa"/>
              <w:right w:w="130" w:type="dxa"/>
            </w:tcMar>
          </w:tcPr>
          <w:p>
            <w:pPr>
              <w:spacing w:line="248" w:lineRule="auto"/>
            </w:pPr>
            <w:r>
              <w:rPr>
                <w:b/>
                <w:bCs/>
                <w:sz w:val="19"/>
                <w:szCs w:val="19"/>
              </w:rPr>
              <w:t xml:space="preserve">AC-02</w:t>
            </w:r>
          </w:p>
        </w:tc>
        <w:tc>
          <w:tcPr>
            <w:tcW w:w="4600" w:type="dxa"/>
            <w:shd w:val="clear" w:color="auto" w:fill="FFFFFF"/>
            <w:tcMar>
              <w:top w:w="85" w:type="dxa"/>
              <w:left w:w="130" w:type="dxa"/>
              <w:bottom w:w="85" w:type="dxa"/>
              <w:right w:w="130" w:type="dxa"/>
            </w:tcMar>
          </w:tcPr>
          <w:p>
            <w:pPr>
              <w:spacing w:line="248" w:lineRule="auto"/>
            </w:pPr>
            <w:r>
              <w:rPr>
                <w:sz w:val="19"/>
                <w:szCs w:val="19"/>
              </w:rPr>
              <w:t xml:space="preserve">First-revision feedback is incorporated in full, with the items marked Removed withdrawn.</w:t>
            </w:r>
          </w:p>
        </w:tc>
        <w:tc>
          <w:tcPr>
            <w:tcW w:w="4580" w:type="dxa"/>
            <w:shd w:val="clear" w:color="auto" w:fill="FFFFFF"/>
            <w:tcMar>
              <w:top w:w="85" w:type="dxa"/>
              <w:left w:w="130" w:type="dxa"/>
              <w:bottom w:w="85" w:type="dxa"/>
              <w:right w:w="130" w:type="dxa"/>
            </w:tcMar>
          </w:tcPr>
          <w:p>
            <w:pPr>
              <w:spacing w:line="248" w:lineRule="auto"/>
            </w:pPr>
            <w:r>
              <w:rPr>
                <w:sz w:val="19"/>
                <w:szCs w:val="19"/>
              </w:rPr>
              <w:t xml:space="preserve">Revision record in §2 and the treatment columns in §3.</w:t>
            </w:r>
          </w:p>
        </w:tc>
      </w:tr>
      <w:tr>
        <w:tc>
          <w:tcPr>
            <w:tcW w:w="900" w:type="dxa"/>
            <w:shd w:val="clear" w:color="auto" w:fill="FFFFFF"/>
            <w:tcMar>
              <w:top w:w="85" w:type="dxa"/>
              <w:left w:w="130" w:type="dxa"/>
              <w:bottom w:w="85" w:type="dxa"/>
              <w:right w:w="130" w:type="dxa"/>
            </w:tcMar>
          </w:tcPr>
          <w:p>
            <w:pPr>
              <w:spacing w:line="248" w:lineRule="auto"/>
            </w:pPr>
            <w:r>
              <w:rPr>
                <w:b/>
                <w:bCs/>
                <w:sz w:val="19"/>
                <w:szCs w:val="19"/>
              </w:rPr>
              <w:t xml:space="preserve">AC-03</w:t>
            </w:r>
          </w:p>
        </w:tc>
        <w:tc>
          <w:tcPr>
            <w:tcW w:w="4600" w:type="dxa"/>
            <w:shd w:val="clear" w:color="auto" w:fill="FFFFFF"/>
            <w:tcMar>
              <w:top w:w="85" w:type="dxa"/>
              <w:left w:w="130" w:type="dxa"/>
              <w:bottom w:w="85" w:type="dxa"/>
              <w:right w:w="130" w:type="dxa"/>
            </w:tcMar>
          </w:tcPr>
          <w:p>
            <w:pPr>
              <w:spacing w:line="248" w:lineRule="auto"/>
            </w:pPr>
            <w:r>
              <w:rPr>
                <w:sz w:val="19"/>
                <w:szCs w:val="19"/>
              </w:rPr>
              <w:t xml:space="preserve">The data displayed through the hosted application matches the approved design.</w:t>
            </w:r>
          </w:p>
        </w:tc>
        <w:tc>
          <w:tcPr>
            <w:tcW w:w="4580" w:type="dxa"/>
            <w:shd w:val="clear" w:color="auto" w:fill="FFFFFF"/>
            <w:tcMar>
              <w:top w:w="85" w:type="dxa"/>
              <w:left w:w="130" w:type="dxa"/>
              <w:bottom w:w="85" w:type="dxa"/>
              <w:right w:w="130" w:type="dxa"/>
            </w:tcMar>
          </w:tcPr>
          <w:p>
            <w:pPr>
              <w:spacing w:line="248" w:lineRule="auto"/>
            </w:pPr>
            <w:r>
              <w:rPr>
                <w:sz w:val="19"/>
                <w:szCs w:val="19"/>
              </w:rPr>
              <w:t xml:space="preserve">Review of the data displayed through the hosted application.</w:t>
            </w:r>
          </w:p>
        </w:tc>
      </w:tr>
      <w:tr>
        <w:tc>
          <w:tcPr>
            <w:tcW w:w="900" w:type="dxa"/>
            <w:shd w:val="clear" w:color="auto" w:fill="FFFFFF"/>
            <w:tcMar>
              <w:top w:w="85" w:type="dxa"/>
              <w:left w:w="130" w:type="dxa"/>
              <w:bottom w:w="85" w:type="dxa"/>
              <w:right w:w="130" w:type="dxa"/>
            </w:tcMar>
          </w:tcPr>
          <w:p>
            <w:pPr>
              <w:spacing w:line="248" w:lineRule="auto"/>
            </w:pPr>
            <w:r>
              <w:rPr>
                <w:b/>
                <w:bCs/>
                <w:sz w:val="19"/>
                <w:szCs w:val="19"/>
              </w:rPr>
              <w:t xml:space="preserve">AC-04</w:t>
            </w:r>
          </w:p>
        </w:tc>
        <w:tc>
          <w:tcPr>
            <w:tcW w:w="4600" w:type="dxa"/>
            <w:shd w:val="clear" w:color="auto" w:fill="FFFFFF"/>
            <w:tcMar>
              <w:top w:w="85" w:type="dxa"/>
              <w:left w:w="130" w:type="dxa"/>
              <w:bottom w:w="85" w:type="dxa"/>
              <w:right w:w="130" w:type="dxa"/>
            </w:tcMar>
          </w:tcPr>
          <w:p>
            <w:pPr>
              <w:spacing w:line="248" w:lineRule="auto"/>
            </w:pPr>
            <w:r>
              <w:rPr>
                <w:sz w:val="19"/>
                <w:szCs w:val="19"/>
              </w:rPr>
              <w:t xml:space="preserve">Open items OP-01 to OP-03 are recorded and their treatment at sign-off is stated.</w:t>
            </w:r>
          </w:p>
        </w:tc>
        <w:tc>
          <w:tcPr>
            <w:tcW w:w="4580" w:type="dxa"/>
            <w:shd w:val="clear" w:color="auto" w:fill="FFFFFF"/>
            <w:tcMar>
              <w:top w:w="85" w:type="dxa"/>
              <w:left w:w="130" w:type="dxa"/>
              <w:bottom w:w="85" w:type="dxa"/>
              <w:right w:w="130" w:type="dxa"/>
            </w:tcMar>
          </w:tcPr>
          <w:p>
            <w:pPr>
              <w:spacing w:line="248" w:lineRule="auto"/>
            </w:pPr>
            <w:r>
              <w:rPr>
                <w:sz w:val="19"/>
                <w:szCs w:val="19"/>
              </w:rPr>
              <w:t xml:space="preserve">Section 4 of this document.</w:t>
            </w:r>
          </w:p>
        </w:tc>
      </w:tr>
    </w:tbl>
    <w:p>
      <w:pPr>
        <w:spacing w:after="160"/>
      </w:pPr>
    </w:p>
    <w:tbl>
      <w:tblPr>
        <w:tblW w:w="10080" w:type="dxa"/>
        <w:tblBorders>
          <w:top w:val="none" w:sz="0" w:space="0" w:color="FFFFFF"/>
          <w:left w:val="single" w:sz="18" w:space="0" w:color="8E24AA"/>
          <w:bottom w:val="none" w:sz="0" w:space="0" w:color="FFFFFF"/>
          <w:right w:val="none" w:sz="0" w:space="0" w:color="FFFFFF"/>
          <w:insideH w:val="none" w:sz="0" w:space="0" w:color="FFFFFF"/>
          <w:insideV w:val="none" w:sz="0" w:space="0" w:color="FFFFFF"/>
        </w:tblBorders>
        <w:tblCellMar>
          <w:left w:w="10" w:type="dxa"/>
          <w:right w:w="10" w:type="dxa"/>
        </w:tblCellMar>
        <w:tblLook w:val="0000"/>
      </w:tblPr>
      <w:tblGrid>
        <w:gridCol w:w="10080"/>
      </w:tblGrid>
      <w:tr>
        <w:tc>
          <w:tcPr>
            <w:tcW w:w="10080" w:type="dxa"/>
            <w:shd w:val="clear" w:color="auto" w:fill="F4F2F8"/>
            <w:tcMar>
              <w:top w:w="130" w:type="dxa"/>
              <w:left w:w="200" w:type="dxa"/>
              <w:bottom w:w="130" w:type="dxa"/>
              <w:right w:w="200" w:type="dxa"/>
            </w:tcMar>
          </w:tcPr>
          <w:p>
            <w:pPr>
              <w:spacing w:line="268" w:lineRule="auto"/>
            </w:pPr>
            <w:r>
              <w:rPr>
                <w:b/>
                <w:bCs/>
                <w:color w:val="8E24AA"/>
              </w:rPr>
              <w:t xml:space="preserve">Deployment and handover.  </w:t>
            </w:r>
            <w:r>
              <w:t xml:space="preserve">The dashboard is deployed and handed over to Ana &amp; Batla at go-live. Acceptance under this document is the approval of the design and of the data displayed through the hosted application; it is not a handover event.</w:t>
            </w:r>
          </w:p>
        </w:tc>
      </w:tr>
    </w:tbl>
    <w:p>
      <w:pPr>
        <w:spacing w:after="160"/>
      </w:pPr>
    </w:p>
    <w:tbl>
      <w:tblPr>
        <w:tblW w:w="10080" w:type="dxa"/>
        <w:tblBorders>
          <w:top w:val="none" w:sz="0" w:space="0" w:color="FFFFFF"/>
          <w:left w:val="single" w:sz="18" w:space="0" w:color="8E24AA"/>
          <w:bottom w:val="none" w:sz="0" w:space="0" w:color="FFFFFF"/>
          <w:right w:val="none" w:sz="0" w:space="0" w:color="FFFFFF"/>
          <w:insideH w:val="none" w:sz="0" w:space="0" w:color="FFFFFF"/>
          <w:insideV w:val="none" w:sz="0" w:space="0" w:color="FFFFFF"/>
        </w:tblBorders>
        <w:tblCellMar>
          <w:left w:w="10" w:type="dxa"/>
          <w:right w:w="10" w:type="dxa"/>
        </w:tblCellMar>
        <w:tblLook w:val="0000"/>
      </w:tblPr>
      <w:tblGrid>
        <w:gridCol w:w="10080"/>
      </w:tblGrid>
      <w:tr>
        <w:tc>
          <w:tcPr>
            <w:tcW w:w="10080" w:type="dxa"/>
            <w:shd w:val="clear" w:color="auto" w:fill="F4F2F8"/>
            <w:tcMar>
              <w:top w:w="130" w:type="dxa"/>
              <w:left w:w="200" w:type="dxa"/>
              <w:bottom w:w="130" w:type="dxa"/>
              <w:right w:w="200" w:type="dxa"/>
            </w:tcMar>
          </w:tcPr>
          <w:p>
            <w:pPr>
              <w:spacing w:line="268" w:lineRule="auto"/>
            </w:pPr>
            <w:r>
              <w:rPr>
                <w:b/>
                <w:bCs/>
                <w:color w:val="8E24AA"/>
              </w:rPr>
              <w:t xml:space="preserve">Milestone position.  </w:t>
            </w:r>
            <w:r>
              <w:t xml:space="preserve">Signature of this document meets Milestone 3 of the Project Plan — first dashboard delivered and accepted with its revision rounds closed. Ana &amp; Batla then provides the requirements for the remaining four dashboards, per BRD §4.5.</w:t>
            </w:r>
          </w:p>
        </w:tc>
      </w:tr>
    </w:tbl>
    <w:p>
      <w:r>
        <w:br w:type="page"/>
      </w:r>
    </w:p>
    <w:p>
      <w:pPr>
        <w:pStyle w:val="Heading1"/>
        <w:pBdr>
          <w:bottom w:val="single" w:sz="12" w:space="6" w:color="8E24AA"/>
        </w:pBdr>
        <w:spacing w:before="340" w:after="170"/>
      </w:pPr>
      <w:r>
        <w:rPr>
          <w:b/>
          <w:bCs/>
          <w:color w:val="3F3F46"/>
          <w:sz w:val="28"/>
          <w:szCs w:val="28"/>
        </w:rPr>
        <w:t xml:space="preserve">6.  Change control after sign-off</w:t>
      </w:r>
    </w:p>
    <w:p>
      <w:pPr>
        <w:spacing w:after="110" w:line="268" w:lineRule="auto"/>
      </w:pPr>
      <w:r>
        <w:t xml:space="preserve">From the date of signature the design in §3 is the baseline. The following applies, per Project Plan §7.</w:t>
      </w:r>
    </w:p>
    <w:p>
      <w:pPr>
        <w:pStyle w:val="ListParagraph"/>
        <w:numPr>
          <w:ilvl w:val="0"/>
          <w:numId w:val="2"/>
        </w:numPr>
        <w:spacing w:after="70" w:line="264" w:lineRule="auto"/>
      </w:pPr>
      <w:r>
        <w:t xml:space="preserve">A change to the approved design of Dashboard 1 after acceptance is a Change Request.</w:t>
      </w:r>
    </w:p>
    <w:p>
      <w:pPr>
        <w:pStyle w:val="ListParagraph"/>
        <w:numPr>
          <w:ilvl w:val="0"/>
          <w:numId w:val="2"/>
        </w:numPr>
        <w:spacing w:after="70" w:line="264" w:lineRule="auto"/>
      </w:pPr>
      <w:r>
        <w:t xml:space="preserve">Two of the three included revision rounds remain available on this dashboard and are used for revisions raised before acceptance, not after it.</w:t>
      </w:r>
    </w:p>
    <w:p>
      <w:pPr>
        <w:pStyle w:val="ListParagraph"/>
        <w:numPr>
          <w:ilvl w:val="0"/>
          <w:numId w:val="2"/>
        </w:numPr>
        <w:spacing w:after="70" w:line="264" w:lineRule="auto"/>
      </w:pPr>
      <w:r>
        <w:t xml:space="preserve">Correction of an item that does not meet a criterion in §5 is not a change and is fixed at no cost.</w:t>
      </w:r>
    </w:p>
    <w:p>
      <w:pPr>
        <w:pStyle w:val="ListParagraph"/>
        <w:numPr>
          <w:ilvl w:val="0"/>
          <w:numId w:val="2"/>
        </w:numPr>
        <w:spacing w:after="70" w:line="264" w:lineRule="auto"/>
      </w:pPr>
      <w:r>
        <w:t xml:space="preserve">Cosmetic adjustment within the approved design that does not alter data, structure or visual count is not a change.</w:t>
      </w:r>
    </w:p>
    <w:p>
      <w:pPr>
        <w:pStyle w:val="ListParagraph"/>
        <w:numPr>
          <w:ilvl w:val="0"/>
          <w:numId w:val="2"/>
        </w:numPr>
        <w:spacing w:after="70" w:line="264" w:lineRule="auto"/>
      </w:pPr>
      <w:r>
        <w:t xml:space="preserve">A requirement needing data the warehouse does not hold is a Change Request.</w:t>
      </w:r>
    </w:p>
    <w:p>
      <w:pPr>
        <w:pStyle w:val="ListParagraph"/>
        <w:numPr>
          <w:ilvl w:val="0"/>
          <w:numId w:val="2"/>
        </w:numPr>
        <w:spacing w:after="70" w:line="264" w:lineRule="auto"/>
      </w:pPr>
      <w:r>
        <w:t xml:space="preserve">Approval of a Change Request requires signature from Irfan Khan for Ana &amp; Batla and Haider Ali Mohsin for Technaptix. Work does not begin on an unsigned Change Request.</w:t>
      </w:r>
    </w:p>
    <w:p>
      <w:r>
        <w:br w:type="page"/>
      </w:r>
    </w:p>
    <w:p>
      <w:pPr>
        <w:pBdr>
          <w:bottom w:val="single" w:sz="12" w:space="6" w:color="8E24AA"/>
        </w:pBdr>
        <w:spacing w:before="340" w:after="170"/>
      </w:pPr>
      <w:r>
        <w:rPr>
          <w:b/>
          <w:bCs/>
          <w:color w:val="3F3F46"/>
          <w:sz w:val="28"/>
          <w:szCs w:val="28"/>
        </w:rPr>
        <w:t xml:space="preserve">Approval &amp; Signatures</w:t>
      </w:r>
    </w:p>
    <w:p>
      <w:pPr>
        <w:spacing w:after="110" w:line="268" w:lineRule="auto"/>
      </w:pPr>
      <w:r>
        <w:t xml:space="preserve">By signing below, both parties confirm that the design recorded in §3 is the approved design baseline for Dashboard 1, that the dashboard as delivered is accepted against the criteria in §5, and that the open items in §4 are carried on the terms stated there.</w:t>
      </w:r>
    </w:p>
    <w:p>
      <w:pPr>
        <w:spacing w:after="20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tblPr>
      <w:tblGrid>
        <w:gridCol w:w="5040"/>
        <w:gridCol w:w="5040"/>
      </w:tblGrid>
      <w:tr>
        <w:tc>
          <w:tcPr>
            <w:tcW w:w="4920" w:type="dxa"/>
            <w:shd w:val="clear" w:color="auto" w:fill="FAFAFC"/>
            <w:tcMar>
              <w:top w:w="170" w:type="dxa"/>
              <w:left w:w="200" w:type="dxa"/>
              <w:bottom w:w="170" w:type="dxa"/>
              <w:right w:w="200" w:type="dxa"/>
            </w:tcMar>
          </w:tcPr>
          <w:p>
            <w:pPr>
              <w:spacing w:after="300"/>
            </w:pPr>
            <w:r>
              <w:rPr>
                <w:noProof/>
              </w:rPr>
              <w:drawing>
                <wp:inline distT="0" distB="0" distL="0" distR="0">
                  <wp:extent cx="1447800" cy="161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47800" cy="161925"/>
                          </a:xfrm>
                          <a:prstGeom prst="rect">
                            <a:avLst/>
                          </a:prstGeom>
                        </pic:spPr>
                      </pic:pic>
                    </a:graphicData>
                  </a:graphic>
                </wp:inline>
              </w:drawing>
            </w:r>
          </w:p>
          <w:p>
            <w:pPr>
              <w:pBdr>
                <w:bottom w:val="single" w:sz="6" w:space="4" w:color="6B6B76"/>
              </w:pBdr>
              <w:spacing w:after="60"/>
            </w:pPr>
            <w:r>
              <w:t xml:space="preserve"> </w:t>
            </w:r>
          </w:p>
          <w:p>
            <w:pPr>
              <w:spacing w:after="320" w:line="268" w:lineRule="auto"/>
            </w:pPr>
            <w:r>
              <w:rPr>
                <w:color w:val="6B6B76"/>
                <w:sz w:val="17"/>
                <w:szCs w:val="17"/>
              </w:rPr>
              <w:t xml:space="preserve">Signature</w:t>
            </w:r>
          </w:p>
          <w:p>
            <w:pPr>
              <w:spacing w:after="40" w:line="268" w:lineRule="auto"/>
            </w:pPr>
            <w:r>
              <w:rPr>
                <w:b/>
                <w:bCs/>
              </w:rPr>
              <w:t xml:space="preserve">Haider Ali Mohsin</w:t>
            </w:r>
          </w:p>
          <w:p>
            <w:pPr>
              <w:spacing w:after="300" w:line="268" w:lineRule="auto"/>
            </w:pPr>
            <w:r>
              <w:rPr>
                <w:color w:val="6B6B76"/>
                <w:sz w:val="19"/>
                <w:szCs w:val="19"/>
              </w:rPr>
              <w:t xml:space="preserve">Chief Executive Officer, Technaptix</w:t>
            </w:r>
          </w:p>
          <w:p>
            <w:pPr>
              <w:pBdr>
                <w:bottom w:val="single" w:sz="6" w:space="4" w:color="6B6B76"/>
              </w:pBdr>
              <w:spacing w:after="60"/>
            </w:pPr>
            <w:r>
              <w:t xml:space="preserve"> </w:t>
            </w:r>
          </w:p>
          <w:p>
            <w:pPr>
              <w:spacing w:line="268" w:lineRule="auto"/>
            </w:pPr>
            <w:r>
              <w:rPr>
                <w:color w:val="6B6B76"/>
                <w:sz w:val="17"/>
                <w:szCs w:val="17"/>
              </w:rPr>
              <w:t xml:space="preserve">Date</w:t>
            </w:r>
          </w:p>
        </w:tc>
        <w:tc>
          <w:tcPr>
            <w:tcW w:w="4920" w:type="dxa"/>
            <w:shd w:val="clear" w:color="auto" w:fill="FAFAFC"/>
            <w:tcMar>
              <w:top w:w="170" w:type="dxa"/>
              <w:left w:w="200" w:type="dxa"/>
              <w:bottom w:w="170" w:type="dxa"/>
              <w:right w:w="200" w:type="dxa"/>
            </w:tcMar>
          </w:tcPr>
          <w:p>
            <w:pPr>
              <w:spacing w:after="300"/>
            </w:pPr>
            <w:r>
              <w:rPr>
                <w:noProof/>
              </w:rPr>
              <w:drawing>
                <wp:inline distT="0" distB="0" distL="0" distR="0">
                  <wp:extent cx="1009650" cy="34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09650" cy="342900"/>
                          </a:xfrm>
                          <a:prstGeom prst="rect">
                            <a:avLst/>
                          </a:prstGeom>
                        </pic:spPr>
                      </pic:pic>
                    </a:graphicData>
                  </a:graphic>
                </wp:inline>
              </w:drawing>
            </w:r>
          </w:p>
          <w:p>
            <w:pPr>
              <w:pBdr>
                <w:bottom w:val="single" w:sz="6" w:space="4" w:color="6B6B76"/>
              </w:pBdr>
              <w:spacing w:after="60"/>
            </w:pPr>
            <w:r>
              <w:t xml:space="preserve"> </w:t>
            </w:r>
          </w:p>
          <w:p>
            <w:pPr>
              <w:spacing w:after="320" w:line="268" w:lineRule="auto"/>
            </w:pPr>
            <w:r>
              <w:rPr>
                <w:color w:val="6B6B76"/>
                <w:sz w:val="17"/>
                <w:szCs w:val="17"/>
              </w:rPr>
              <w:t xml:space="preserve">Signature</w:t>
            </w:r>
          </w:p>
          <w:p>
            <w:pPr>
              <w:spacing w:after="40" w:line="268" w:lineRule="auto"/>
            </w:pPr>
            <w:r>
              <w:rPr>
                <w:b/>
                <w:bCs/>
              </w:rPr>
              <w:t xml:space="preserve">Irfan Khan</w:t>
            </w:r>
          </w:p>
          <w:p>
            <w:pPr>
              <w:spacing w:after="300" w:line="268" w:lineRule="auto"/>
            </w:pPr>
            <w:r>
              <w:rPr>
                <w:color w:val="6B6B76"/>
                <w:sz w:val="19"/>
                <w:szCs w:val="19"/>
              </w:rPr>
              <w:t xml:space="preserve">Head of Information Technology, Ana &amp; Batla Industries</w:t>
            </w:r>
          </w:p>
          <w:p>
            <w:pPr>
              <w:pBdr>
                <w:bottom w:val="single" w:sz="6" w:space="4" w:color="6B6B76"/>
              </w:pBdr>
              <w:spacing w:after="60"/>
            </w:pPr>
            <w:r>
              <w:t xml:space="preserve"> </w:t>
            </w:r>
          </w:p>
          <w:p>
            <w:pPr>
              <w:spacing w:line="268" w:lineRule="auto"/>
            </w:pPr>
            <w:r>
              <w:rPr>
                <w:color w:val="6B6B76"/>
                <w:sz w:val="17"/>
                <w:szCs w:val="17"/>
              </w:rPr>
              <w:t xml:space="preserve">Date</w:t>
            </w:r>
          </w:p>
        </w:tc>
      </w:tr>
    </w:tbl>
    <w:p>
      <w:pPr>
        <w:spacing w:after="280"/>
      </w:pPr>
    </w:p>
    <w:p>
      <w:pPr>
        <w:spacing w:after="110" w:line="268" w:lineRule="auto"/>
      </w:pPr>
      <w:r>
        <w:rPr>
          <w:i/>
          <w:iCs/>
          <w:color w:val="6B6B76"/>
          <w:sz w:val="18"/>
          <w:szCs w:val="18"/>
        </w:rPr>
        <w:t xml:space="preserve">Signature of this document constitutes acceptance of the first dashboard and closes its revision rounds. Any subsequent variation is managed through the Change Control process.</w:t>
      </w:r>
    </w:p>
    <w:sectPr>
      <w:headerReference w:type="default" r:id="rId9"/>
      <w:footerReference w:type="default" r:id="rId10"/>
      <w:pgSz w:w="12240" w:h="15840"/>
      <w:pgMar w:top="1080" w:right="1080" w:bottom="1000" w:left="1080" w:header="520" w:footer="4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7BB5" w:rsidRDefault="00517BB5">
      <w:r>
        <w:separator/>
      </w:r>
    </w:p>
  </w:endnote>
  <w:endnote w:type="continuationSeparator" w:id="0">
    <w:p w:rsidR="00517BB5" w:rsidRDefault="00517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3CC0" w:rsidRDefault="00517BB5">
    <w:pPr>
      <w:pBdr>
        <w:top w:val="single" w:sz="4" w:space="4" w:color="D8D8E0"/>
      </w:pBdr>
    </w:pPr>
    <w:r>
      <w:rPr>
        <w:color w:val="6B6B76"/>
        <w:sz w:val="15"/>
        <w:szCs w:val="15"/>
      </w:rPr>
      <w:t>TNX.DWH.AnaBatla.SO.01  ·  v1.0 — 29 August 2026</w:t>
    </w:r>
    <w:r>
      <w:rPr>
        <w:color w:val="6B6B76"/>
        <w:sz w:val="15"/>
        <w:szCs w:val="15"/>
      </w:rPr>
      <w:ptab w:relativeTo="margin" w:alignment="right" w:leader="none"/>
    </w:r>
    <w:r>
      <w:rPr>
        <w:color w:val="6B6B76"/>
        <w:sz w:val="15"/>
        <w:szCs w:val="15"/>
      </w:rPr>
      <w:t xml:space="preserve">Page </w:t>
    </w:r>
    <w:r>
      <w:rPr>
        <w:color w:val="6B6B76"/>
        <w:sz w:val="15"/>
        <w:szCs w:val="15"/>
      </w:rPr>
      <w:fldChar w:fldCharType="begin"/>
    </w:r>
    <w:r>
      <w:rPr>
        <w:color w:val="6B6B76"/>
        <w:sz w:val="15"/>
        <w:szCs w:val="15"/>
      </w:rPr>
      <w:instrText>PAGE</w:instrText>
    </w:r>
    <w:r w:rsidR="006C5BC6">
      <w:rPr>
        <w:color w:val="6B6B76"/>
        <w:sz w:val="15"/>
        <w:szCs w:val="15"/>
      </w:rPr>
      <w:fldChar w:fldCharType="separate"/>
    </w:r>
    <w:r w:rsidR="006C5BC6">
      <w:rPr>
        <w:noProof/>
        <w:color w:val="6B6B76"/>
        <w:sz w:val="15"/>
        <w:szCs w:val="15"/>
      </w:rPr>
      <w:t>7</w:t>
    </w:r>
    <w:r>
      <w:rPr>
        <w:color w:val="6B6B76"/>
        <w:sz w:val="15"/>
        <w:szCs w:val="15"/>
      </w:rPr>
      <w:fldChar w:fldCharType="end"/>
    </w:r>
    <w:r>
      <w:rPr>
        <w:color w:val="6B6B76"/>
        <w:sz w:val="15"/>
        <w:szCs w:val="15"/>
      </w:rPr>
      <w:t xml:space="preserve"> of </w:t>
    </w:r>
    <w:r>
      <w:rPr>
        <w:color w:val="6B6B76"/>
        <w:sz w:val="15"/>
        <w:szCs w:val="15"/>
      </w:rPr>
      <w:fldChar w:fldCharType="begin"/>
    </w:r>
    <w:r>
      <w:rPr>
        <w:color w:val="6B6B76"/>
        <w:sz w:val="15"/>
        <w:szCs w:val="15"/>
      </w:rPr>
      <w:instrText>NUMPAGES</w:instrText>
    </w:r>
    <w:r w:rsidR="006C5BC6">
      <w:rPr>
        <w:color w:val="6B6B76"/>
        <w:sz w:val="15"/>
        <w:szCs w:val="15"/>
      </w:rPr>
      <w:fldChar w:fldCharType="separate"/>
    </w:r>
    <w:r w:rsidR="006C5BC6">
      <w:rPr>
        <w:noProof/>
        <w:color w:val="6B6B76"/>
        <w:sz w:val="15"/>
        <w:szCs w:val="15"/>
      </w:rPr>
      <w:t>12</w:t>
    </w:r>
    <w:r>
      <w:rPr>
        <w:color w:val="6B6B76"/>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7BB5" w:rsidRDefault="00517BB5">
      <w:r>
        <w:separator/>
      </w:r>
    </w:p>
  </w:footnote>
  <w:footnote w:type="continuationSeparator" w:id="0">
    <w:p w:rsidR="00517BB5" w:rsidRDefault="00517B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3CC0" w:rsidRDefault="00517BB5">
    <w:pPr>
      <w:pBdr>
        <w:bottom w:val="single" w:sz="4" w:space="5" w:color="D8D8E0"/>
      </w:pBdr>
    </w:pPr>
    <w:r>
      <w:rPr>
        <w:noProof/>
      </w:rPr>
      <w:drawing>
        <wp:inline distT="0" distB="0" distL="0" distR="0">
          <wp:extent cx="1019175" cy="11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19175" cy="114300"/>
                  </a:xfrm>
                  <a:prstGeom prst="rect">
                    <a:avLst/>
                  </a:prstGeom>
                </pic:spPr>
              </pic:pic>
            </a:graphicData>
          </a:graphic>
        </wp:inline>
      </w:drawing>
    </w:r>
    <w:r>
      <w:rPr>
        <w:color w:val="6B6B76"/>
        <w:sz w:val="16"/>
        <w:szCs w:val="16"/>
      </w:rPr>
      <w:t xml:space="preserve">     Ana &amp; Batla Industries — Sales Data Warehouse</w:t>
    </w:r>
    <w:r>
      <w:rPr>
        <w:color w:val="6B6B76"/>
        <w:sz w:val="16"/>
        <w:szCs w:val="16"/>
      </w:rPr>
      <w:ptab w:relativeTo="margin" w:alignment="right" w:leader="none"/>
    </w:r>
    <w:r>
      <w:rPr>
        <w:color w:val="6B6B76"/>
        <w:sz w:val="16"/>
        <w:szCs w:val="16"/>
      </w:rPr>
      <w:t>Dashboard 1 — Sign-off</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565D2"/>
    <w:multiLevelType w:val="hybridMultilevel"/>
    <w:tmpl w:val="E7A07024"/>
    <w:lvl w:ilvl="0" w:tplc="AF68BFF4">
      <w:start w:val="1"/>
      <w:numFmt w:val="bullet"/>
      <w:lvlText w:val="●"/>
      <w:lvlJc w:val="left"/>
      <w:pPr>
        <w:ind w:left="720" w:hanging="360"/>
      </w:pPr>
    </w:lvl>
    <w:lvl w:ilvl="1" w:tplc="6DA8200E">
      <w:start w:val="1"/>
      <w:numFmt w:val="bullet"/>
      <w:lvlText w:val="○"/>
      <w:lvlJc w:val="left"/>
      <w:pPr>
        <w:ind w:left="1440" w:hanging="360"/>
      </w:pPr>
    </w:lvl>
    <w:lvl w:ilvl="2" w:tplc="26FE560A">
      <w:start w:val="1"/>
      <w:numFmt w:val="bullet"/>
      <w:lvlText w:val="■"/>
      <w:lvlJc w:val="left"/>
      <w:pPr>
        <w:ind w:left="2160" w:hanging="360"/>
      </w:pPr>
    </w:lvl>
    <w:lvl w:ilvl="3" w:tplc="48347D26">
      <w:start w:val="1"/>
      <w:numFmt w:val="bullet"/>
      <w:lvlText w:val="●"/>
      <w:lvlJc w:val="left"/>
      <w:pPr>
        <w:ind w:left="2880" w:hanging="360"/>
      </w:pPr>
    </w:lvl>
    <w:lvl w:ilvl="4" w:tplc="8B1401AC">
      <w:start w:val="1"/>
      <w:numFmt w:val="bullet"/>
      <w:lvlText w:val="○"/>
      <w:lvlJc w:val="left"/>
      <w:pPr>
        <w:ind w:left="3600" w:hanging="360"/>
      </w:pPr>
    </w:lvl>
    <w:lvl w:ilvl="5" w:tplc="7568A434">
      <w:start w:val="1"/>
      <w:numFmt w:val="bullet"/>
      <w:lvlText w:val="■"/>
      <w:lvlJc w:val="left"/>
      <w:pPr>
        <w:ind w:left="4320" w:hanging="360"/>
      </w:pPr>
    </w:lvl>
    <w:lvl w:ilvl="6" w:tplc="FECA30F4">
      <w:start w:val="1"/>
      <w:numFmt w:val="bullet"/>
      <w:lvlText w:val="●"/>
      <w:lvlJc w:val="left"/>
      <w:pPr>
        <w:ind w:left="5040" w:hanging="360"/>
      </w:pPr>
    </w:lvl>
    <w:lvl w:ilvl="7" w:tplc="4DE4741A">
      <w:start w:val="1"/>
      <w:numFmt w:val="bullet"/>
      <w:lvlText w:val="●"/>
      <w:lvlJc w:val="left"/>
      <w:pPr>
        <w:ind w:left="5760" w:hanging="360"/>
      </w:pPr>
    </w:lvl>
    <w:lvl w:ilvl="8" w:tplc="97C29072">
      <w:start w:val="1"/>
      <w:numFmt w:val="bullet"/>
      <w:lvlText w:val="●"/>
      <w:lvlJc w:val="left"/>
      <w:pPr>
        <w:ind w:left="6480" w:hanging="360"/>
      </w:pPr>
    </w:lvl>
  </w:abstractNum>
  <w:abstractNum w:abstractNumId="1" w15:restartNumberingAfterBreak="0">
    <w:nsid w:val="262C2ED8"/>
    <w:multiLevelType w:val="hybridMultilevel"/>
    <w:tmpl w:val="A0EE4456"/>
    <w:lvl w:ilvl="0" w:tplc="2700A146">
      <w:start w:val="1"/>
      <w:numFmt w:val="decimal"/>
      <w:lvlText w:val="%1."/>
      <w:lvlJc w:val="left"/>
      <w:pPr>
        <w:ind w:left="400" w:hanging="260"/>
      </w:pPr>
      <w:rPr>
        <w:b/>
        <w:bCs/>
        <w:color w:val="8E24AA"/>
      </w:rPr>
    </w:lvl>
    <w:lvl w:ilvl="1" w:tplc="A54A70AC">
      <w:numFmt w:val="decimal"/>
      <w:lvlText w:val=""/>
      <w:lvlJc w:val="left"/>
    </w:lvl>
    <w:lvl w:ilvl="2" w:tplc="00CA8BAC">
      <w:numFmt w:val="decimal"/>
      <w:lvlText w:val=""/>
      <w:lvlJc w:val="left"/>
    </w:lvl>
    <w:lvl w:ilvl="3" w:tplc="BC7ECE8A">
      <w:numFmt w:val="decimal"/>
      <w:lvlText w:val=""/>
      <w:lvlJc w:val="left"/>
    </w:lvl>
    <w:lvl w:ilvl="4" w:tplc="F98E5FF4">
      <w:numFmt w:val="decimal"/>
      <w:lvlText w:val=""/>
      <w:lvlJc w:val="left"/>
    </w:lvl>
    <w:lvl w:ilvl="5" w:tplc="8A020FFE">
      <w:numFmt w:val="decimal"/>
      <w:lvlText w:val=""/>
      <w:lvlJc w:val="left"/>
    </w:lvl>
    <w:lvl w:ilvl="6" w:tplc="EC5C10EC">
      <w:numFmt w:val="decimal"/>
      <w:lvlText w:val=""/>
      <w:lvlJc w:val="left"/>
    </w:lvl>
    <w:lvl w:ilvl="7" w:tplc="6B3AE9FA">
      <w:numFmt w:val="decimal"/>
      <w:lvlText w:val=""/>
      <w:lvlJc w:val="left"/>
    </w:lvl>
    <w:lvl w:ilvl="8" w:tplc="9FD8B756">
      <w:numFmt w:val="decimal"/>
      <w:lvlText w:val=""/>
      <w:lvlJc w:val="left"/>
    </w:lvl>
  </w:abstractNum>
  <w:abstractNum w:abstractNumId="2" w15:restartNumberingAfterBreak="0">
    <w:nsid w:val="72383075"/>
    <w:multiLevelType w:val="hybridMultilevel"/>
    <w:tmpl w:val="5EC28F80"/>
    <w:lvl w:ilvl="0" w:tplc="AC90B820">
      <w:start w:val="1"/>
      <w:numFmt w:val="bullet"/>
      <w:lvlText w:val="•"/>
      <w:lvlJc w:val="left"/>
      <w:pPr>
        <w:ind w:left="360" w:hanging="200"/>
      </w:pPr>
      <w:rPr>
        <w:color w:val="8E24AA"/>
      </w:rPr>
    </w:lvl>
    <w:lvl w:ilvl="1" w:tplc="2E8E6AC0">
      <w:start w:val="1"/>
      <w:numFmt w:val="bullet"/>
      <w:lvlText w:val="–"/>
      <w:lvlJc w:val="left"/>
      <w:pPr>
        <w:ind w:left="720" w:hanging="200"/>
      </w:pPr>
      <w:rPr>
        <w:color w:val="3B62D9"/>
      </w:rPr>
    </w:lvl>
    <w:lvl w:ilvl="2" w:tplc="A58217C2">
      <w:numFmt w:val="decimal"/>
      <w:lvlText w:val=""/>
      <w:lvlJc w:val="left"/>
    </w:lvl>
    <w:lvl w:ilvl="3" w:tplc="CF3845EC">
      <w:numFmt w:val="decimal"/>
      <w:lvlText w:val=""/>
      <w:lvlJc w:val="left"/>
    </w:lvl>
    <w:lvl w:ilvl="4" w:tplc="F0FEE5AC">
      <w:numFmt w:val="decimal"/>
      <w:lvlText w:val=""/>
      <w:lvlJc w:val="left"/>
    </w:lvl>
    <w:lvl w:ilvl="5" w:tplc="95AC4CEC">
      <w:numFmt w:val="decimal"/>
      <w:lvlText w:val=""/>
      <w:lvlJc w:val="left"/>
    </w:lvl>
    <w:lvl w:ilvl="6" w:tplc="853022F4">
      <w:numFmt w:val="decimal"/>
      <w:lvlText w:val=""/>
      <w:lvlJc w:val="left"/>
    </w:lvl>
    <w:lvl w:ilvl="7" w:tplc="6194D096">
      <w:numFmt w:val="decimal"/>
      <w:lvlText w:val=""/>
      <w:lvlJc w:val="left"/>
    </w:lvl>
    <w:lvl w:ilvl="8" w:tplc="AA66829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CC0"/>
    <w:rsid w:val="00517BB5"/>
    <w:rsid w:val="006C5BC6"/>
    <w:rsid w:val="00923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844B9"/>
  <w15:docId w15:val="{821AEB90-610C-41F0-A621-F9AB4A44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3F3F46"/>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3039</Words>
  <Characters>17328</Characters>
  <Application>Microsoft Office Word</Application>
  <DocSecurity>0</DocSecurity>
  <Lines>144</Lines>
  <Paragraphs>40</Paragraphs>
  <ScaleCrop>false</ScaleCrop>
  <Company/>
  <LinksUpToDate>false</LinksUpToDate>
  <CharactersWithSpaces>20327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dc:title>
  <dc:creator>Technaptix</dc:creator>
  <dc:description>Sales Data Warehouse — SAP, SalesFlo, Shopify and Brand Ambassador consolidated into a single Snowflake warehouse with five dashboards.</dc:description>
  <cp:lastModifiedBy>TPM-02</cp:lastModifiedBy>
  <cp:revision>2</cp:revision>
  <dcterms:created xsi:type="dcterms:W3CDTF">2026-08-28T08:25:00Z</dcterms:created>
  <dcterms:modified xsi:type="dcterms:W3CDTF">2026-08-28T10:27:00Z</dcterms:modified>
</cp:coreProperties>
</file>