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6BF" w:rsidRDefault="000146BF" w:rsidP="000146BF">
      <w:pPr>
        <w:jc w:val="center"/>
        <w:rPr>
          <w:b/>
          <w:bCs/>
          <w:u w:val="single"/>
        </w:rPr>
      </w:pPr>
      <w:r>
        <w:rPr>
          <w:b/>
          <w:bCs/>
          <w:u w:val="single"/>
        </w:rPr>
        <w:t>Lab 1: Sampling distribution and simple random sampling</w:t>
      </w:r>
    </w:p>
    <w:p w:rsidR="000146BF" w:rsidRPr="00295382" w:rsidRDefault="000146BF" w:rsidP="000146BF">
      <w:pPr>
        <w:jc w:val="center"/>
        <w:rPr>
          <w:b/>
          <w:u w:val="single"/>
        </w:rPr>
      </w:pPr>
      <w:r w:rsidRPr="00295382">
        <w:rPr>
          <w:b/>
          <w:u w:val="single"/>
        </w:rPr>
        <w:t>MSDS 6370</w:t>
      </w:r>
    </w:p>
    <w:p w:rsidR="000146BF" w:rsidRDefault="000146BF" w:rsidP="000146BF">
      <w:pPr>
        <w:rPr>
          <w:b/>
          <w:bCs/>
        </w:rPr>
      </w:pPr>
      <w:r>
        <w:rPr>
          <w:b/>
          <w:bCs/>
        </w:rPr>
        <w:t>Objectives:</w:t>
      </w:r>
    </w:p>
    <w:p w:rsidR="000146BF" w:rsidRDefault="000146BF" w:rsidP="000146BF">
      <w:pPr>
        <w:numPr>
          <w:ilvl w:val="0"/>
          <w:numId w:val="1"/>
        </w:numPr>
      </w:pPr>
      <w:r>
        <w:t>Introduce the student to the idea of a probability sample and the simple random sample.</w:t>
      </w:r>
    </w:p>
    <w:p w:rsidR="000146BF" w:rsidRDefault="000146BF" w:rsidP="000146BF">
      <w:pPr>
        <w:numPr>
          <w:ilvl w:val="0"/>
          <w:numId w:val="1"/>
        </w:numPr>
      </w:pPr>
      <w:r>
        <w:t>Give the student a preview of the idea of the sampling distribution via a demonstration.</w:t>
      </w:r>
    </w:p>
    <w:p w:rsidR="000146BF" w:rsidRDefault="000146BF" w:rsidP="000146BF">
      <w:pPr>
        <w:ind w:left="720"/>
      </w:pPr>
    </w:p>
    <w:p w:rsidR="000146BF" w:rsidRDefault="000146BF" w:rsidP="000146BF">
      <w:pPr>
        <w:ind w:left="360"/>
      </w:pPr>
      <w:r>
        <w:t xml:space="preserve">  </w:t>
      </w:r>
    </w:p>
    <w:p w:rsidR="000146BF" w:rsidRDefault="000146BF" w:rsidP="000146BF">
      <w:pPr>
        <w:spacing w:line="360" w:lineRule="auto"/>
      </w:pPr>
      <w:r>
        <w:rPr>
          <w:b/>
          <w:bCs/>
        </w:rPr>
        <w:t>Introduction:</w:t>
      </w:r>
    </w:p>
    <w:p w:rsidR="000146BF" w:rsidRDefault="000146BF" w:rsidP="000146BF">
      <w:pPr>
        <w:spacing w:after="120" w:line="360" w:lineRule="auto"/>
      </w:pPr>
      <w:r>
        <w:t xml:space="preserve">We will use the rectangle population that you encountered in the Rectangle Exercise in your asynchronous session.  The term </w:t>
      </w:r>
      <w:r w:rsidRPr="004E3813">
        <w:rPr>
          <w:i/>
        </w:rPr>
        <w:t>judgment sample</w:t>
      </w:r>
      <w:r>
        <w:t xml:space="preserve"> means that no random process was used to choose the sample; rather you used your own judgment to select a representative sample. Another name for such a sample is </w:t>
      </w:r>
      <w:r>
        <w:rPr>
          <w:i/>
        </w:rPr>
        <w:t>quota sample</w:t>
      </w:r>
      <w:r>
        <w:t xml:space="preserve">. </w:t>
      </w:r>
    </w:p>
    <w:p w:rsidR="000146BF" w:rsidRDefault="000146BF" w:rsidP="000146BF">
      <w:pPr>
        <w:pStyle w:val="Heading4"/>
      </w:pPr>
    </w:p>
    <w:p w:rsidR="000146BF" w:rsidRDefault="000146BF" w:rsidP="000146BF">
      <w:pPr>
        <w:pStyle w:val="Heading4"/>
      </w:pPr>
      <w:r>
        <w:t xml:space="preserve">Mean of population versus mean of judgment samples </w:t>
      </w:r>
    </w:p>
    <w:p w:rsidR="000146BF" w:rsidRDefault="00C901A4" w:rsidP="000146BF">
      <w:pPr>
        <w:spacing w:after="120" w:line="360" w:lineRule="auto"/>
      </w:pPr>
      <w:r>
        <w:t>Calculate the mean of the 15</w:t>
      </w:r>
      <w:r w:rsidR="000146BF">
        <w:t xml:space="preserve"> estimates of total area from the judgment samples selected by the class members and write it in Table 1 on the Results page of this lab along with the largest and smallest </w:t>
      </w:r>
      <w:r>
        <w:t>estimate. Compare the mean of 15</w:t>
      </w:r>
      <w:r w:rsidR="000146BF">
        <w:t xml:space="preserve"> estimates of total area calculated from your judgment samples with the true total area for the population, wh</w:t>
      </w:r>
      <w:r>
        <w:t>ich is 739.  Then compare the 15</w:t>
      </w:r>
      <w:r w:rsidR="000146BF">
        <w:t xml:space="preserve"> estimates calculated from your judgment samples with the true value for the population, How many of the estimates for the total area are too high and how many are lower?</w:t>
      </w:r>
    </w:p>
    <w:p w:rsidR="000146BF" w:rsidRDefault="000146BF" w:rsidP="000146BF">
      <w:pPr>
        <w:pStyle w:val="Heading4"/>
      </w:pPr>
    </w:p>
    <w:p w:rsidR="000146BF" w:rsidRDefault="000146BF" w:rsidP="000146BF">
      <w:pPr>
        <w:pStyle w:val="Heading4"/>
      </w:pPr>
      <w:r>
        <w:t xml:space="preserve">Mean of population versus mean of simple random samples (SRSs) </w:t>
      </w:r>
    </w:p>
    <w:p w:rsidR="000146BF" w:rsidRDefault="000146BF" w:rsidP="000146BF">
      <w:pPr>
        <w:spacing w:after="120" w:line="360" w:lineRule="auto"/>
      </w:pPr>
      <w:r>
        <w:t>Calculate the mean of th</w:t>
      </w:r>
      <w:r w:rsidR="00C901A4">
        <w:t>e 15</w:t>
      </w:r>
      <w:r>
        <w:t xml:space="preserve"> estimates of total area from the SRSs selected by the class members and write it in Table 1 on the Results page of this lab along with the largest and smallest </w:t>
      </w:r>
      <w:r w:rsidR="00C901A4">
        <w:t>estimate. Compare the mean of 15</w:t>
      </w:r>
      <w:r>
        <w:t xml:space="preserve"> estimates of total area calculated from your SRSs with the true total area for the population, wh</w:t>
      </w:r>
      <w:r w:rsidR="00C901A4">
        <w:t>ich is 739.  Then compare the 15</w:t>
      </w:r>
      <w:r>
        <w:t xml:space="preserve"> estimates calculated from your SRS with the true value for the population. How many of the simple random sample means are higher and how many are lower than the true population area?   </w:t>
      </w:r>
    </w:p>
    <w:p w:rsidR="000146BF" w:rsidRDefault="000146BF" w:rsidP="000146BF">
      <w:pPr>
        <w:spacing w:after="120" w:line="360" w:lineRule="auto"/>
      </w:pPr>
      <w:r>
        <w:lastRenderedPageBreak/>
        <w:t xml:space="preserve">A </w:t>
      </w:r>
      <w:r>
        <w:rPr>
          <w:i/>
        </w:rPr>
        <w:t>probability sample</w:t>
      </w:r>
      <w:r>
        <w:t xml:space="preserve"> is one in which the probability of selection of each frame element is known and non-zero. A probability sample removes judgment from the process of selecting a sample by using some random method for deciding which units from the population are chosen into the sample.  A probability sample is a methodology that produces unbiased estimates of the mean and the total of the population. The simplest probability sample is a </w:t>
      </w:r>
      <w:r>
        <w:rPr>
          <w:i/>
        </w:rPr>
        <w:t>simple random sample</w:t>
      </w:r>
      <w:r>
        <w:t xml:space="preserve">.  </w:t>
      </w:r>
    </w:p>
    <w:p w:rsidR="000146BF" w:rsidRDefault="000146BF" w:rsidP="000146BF">
      <w:pPr>
        <w:pStyle w:val="NormalWeb"/>
        <w:spacing w:line="360" w:lineRule="auto"/>
        <w:rPr>
          <w:b/>
        </w:rPr>
      </w:pPr>
      <w:r>
        <w:rPr>
          <w:b/>
        </w:rPr>
        <w:t>Sampling Distribution:</w:t>
      </w:r>
    </w:p>
    <w:p w:rsidR="000146BF" w:rsidRDefault="000146BF" w:rsidP="000146BF">
      <w:pPr>
        <w:pStyle w:val="NormalWeb"/>
        <w:spacing w:line="360" w:lineRule="auto"/>
      </w:pPr>
      <w:r>
        <w:t>When a probability sample design is used, the estimates of total area calculated from the samples have a predictable behavior that can be determined from the characteristics of the population. We are examining that behavior by performing an experiment with our 14 SRSs from the rectangle population. We calculated</w:t>
      </w:r>
      <w:r>
        <w:rPr>
          <w:b/>
        </w:rPr>
        <w:t xml:space="preserve"> </w:t>
      </w:r>
      <w:r>
        <w:t xml:space="preserve">the total area from each, and now can see what the distribution of these estimates of total area looks like. The distribution of a statistic, such as an estimated mean or total, from a probability sample is called its </w:t>
      </w:r>
      <w:r>
        <w:rPr>
          <w:i/>
        </w:rPr>
        <w:t>sampling distribution</w:t>
      </w:r>
      <w:r>
        <w:t>. In our case, we are learning about the sampling distribution of the estimates of total area from an experiment and then comparing it to what theory says it should look like.</w:t>
      </w:r>
    </w:p>
    <w:p w:rsidR="000146BF" w:rsidRDefault="000146BF" w:rsidP="000146BF">
      <w:pPr>
        <w:rPr>
          <w:rFonts w:ascii="Calibri" w:hAnsi="Calibri"/>
          <w:color w:val="1F497D"/>
          <w:sz w:val="22"/>
          <w:szCs w:val="22"/>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C901A4" w:rsidRDefault="00C901A4" w:rsidP="000146BF">
      <w:pPr>
        <w:pStyle w:val="NormalWeb"/>
        <w:spacing w:line="360" w:lineRule="auto"/>
        <w:rPr>
          <w:b/>
        </w:rPr>
      </w:pPr>
    </w:p>
    <w:p w:rsidR="000146BF" w:rsidRDefault="000146BF" w:rsidP="000146BF">
      <w:pPr>
        <w:pStyle w:val="NormalWeb"/>
        <w:spacing w:line="360" w:lineRule="auto"/>
        <w:rPr>
          <w:b/>
        </w:rPr>
      </w:pPr>
      <w:r>
        <w:tab/>
      </w:r>
    </w:p>
    <w:p w:rsidR="000146BF" w:rsidRPr="00EF47D9" w:rsidRDefault="000146BF" w:rsidP="000146BF">
      <w:pPr>
        <w:pStyle w:val="NormalWeb"/>
        <w:spacing w:line="360" w:lineRule="auto"/>
      </w:pPr>
      <w:r>
        <w:rPr>
          <w:b/>
        </w:rPr>
        <w:lastRenderedPageBreak/>
        <w:t>Exercises:</w:t>
      </w:r>
    </w:p>
    <w:p w:rsidR="000146BF" w:rsidRDefault="00C901A4" w:rsidP="000146BF">
      <w:pPr>
        <w:pStyle w:val="secondary"/>
        <w:spacing w:line="360" w:lineRule="auto"/>
        <w:rPr>
          <w:rFonts w:ascii="Times New Roman" w:hAnsi="Times New Roman"/>
          <w:sz w:val="24"/>
          <w:szCs w:val="24"/>
        </w:rPr>
      </w:pPr>
      <w:r>
        <w:rPr>
          <w:rFonts w:ascii="Times New Roman" w:hAnsi="Times New Roman"/>
          <w:sz w:val="24"/>
          <w:szCs w:val="24"/>
        </w:rPr>
        <w:t>Below you have 2 sets of 15</w:t>
      </w:r>
      <w:r w:rsidR="000146BF">
        <w:rPr>
          <w:rFonts w:ascii="Times New Roman" w:hAnsi="Times New Roman"/>
          <w:sz w:val="24"/>
          <w:szCs w:val="24"/>
        </w:rPr>
        <w:t xml:space="preserve"> estimates of the rectangle population’s total area.  The 1</w:t>
      </w:r>
      <w:r w:rsidR="000146BF" w:rsidRPr="00BE3B3C">
        <w:rPr>
          <w:rFonts w:ascii="Times New Roman" w:hAnsi="Times New Roman"/>
          <w:sz w:val="24"/>
          <w:szCs w:val="24"/>
          <w:vertAlign w:val="superscript"/>
        </w:rPr>
        <w:t>st</w:t>
      </w:r>
      <w:r w:rsidR="000146BF">
        <w:rPr>
          <w:rFonts w:ascii="Times New Roman" w:hAnsi="Times New Roman"/>
          <w:sz w:val="24"/>
          <w:szCs w:val="24"/>
        </w:rPr>
        <w:t xml:space="preserve"> column co</w:t>
      </w:r>
      <w:r>
        <w:rPr>
          <w:rFonts w:ascii="Times New Roman" w:hAnsi="Times New Roman"/>
          <w:sz w:val="24"/>
          <w:szCs w:val="24"/>
        </w:rPr>
        <w:t>ntains the estimates from the 15</w:t>
      </w:r>
      <w:r w:rsidR="000146BF">
        <w:rPr>
          <w:rFonts w:ascii="Times New Roman" w:hAnsi="Times New Roman"/>
          <w:sz w:val="24"/>
          <w:szCs w:val="24"/>
        </w:rPr>
        <w:t xml:space="preserve"> judgement samples</w:t>
      </w:r>
      <w:r w:rsidR="000146BF" w:rsidRPr="007169D5">
        <w:rPr>
          <w:rFonts w:ascii="Times New Roman" w:hAnsi="Times New Roman"/>
          <w:sz w:val="24"/>
          <w:szCs w:val="24"/>
        </w:rPr>
        <w:t xml:space="preserve"> </w:t>
      </w:r>
      <w:r w:rsidR="000146BF">
        <w:rPr>
          <w:rFonts w:ascii="Times New Roman" w:hAnsi="Times New Roman"/>
          <w:sz w:val="24"/>
          <w:szCs w:val="24"/>
        </w:rPr>
        <w:t>and the 2</w:t>
      </w:r>
      <w:r w:rsidR="000146BF" w:rsidRPr="00BE3B3C">
        <w:rPr>
          <w:rFonts w:ascii="Times New Roman" w:hAnsi="Times New Roman"/>
          <w:sz w:val="24"/>
          <w:szCs w:val="24"/>
          <w:vertAlign w:val="superscript"/>
        </w:rPr>
        <w:t>nd</w:t>
      </w:r>
      <w:r w:rsidR="000146BF">
        <w:rPr>
          <w:rFonts w:ascii="Times New Roman" w:hAnsi="Times New Roman"/>
          <w:sz w:val="24"/>
          <w:szCs w:val="24"/>
        </w:rPr>
        <w:t xml:space="preserve"> colum</w:t>
      </w:r>
      <w:r>
        <w:rPr>
          <w:rFonts w:ascii="Times New Roman" w:hAnsi="Times New Roman"/>
          <w:sz w:val="24"/>
          <w:szCs w:val="24"/>
        </w:rPr>
        <w:t>n contains the estimates from 15</w:t>
      </w:r>
      <w:r w:rsidR="000146BF">
        <w:rPr>
          <w:rFonts w:ascii="Times New Roman" w:hAnsi="Times New Roman"/>
          <w:sz w:val="24"/>
          <w:szCs w:val="24"/>
        </w:rPr>
        <w:t xml:space="preserve"> simple random samples.  Previous class members submitted these estimates.</w:t>
      </w:r>
    </w:p>
    <w:p w:rsidR="000146BF" w:rsidRDefault="000146BF" w:rsidP="000146BF">
      <w:pPr>
        <w:pStyle w:val="secondary"/>
        <w:spacing w:line="360" w:lineRule="auto"/>
        <w:rPr>
          <w:rFonts w:ascii="Times New Roman" w:hAnsi="Times New Roman"/>
          <w:sz w:val="24"/>
          <w:szCs w:val="24"/>
        </w:rPr>
      </w:pPr>
      <w:r>
        <w:rPr>
          <w:rFonts w:ascii="Times New Roman" w:hAnsi="Times New Roman"/>
          <w:sz w:val="24"/>
          <w:szCs w:val="24"/>
        </w:rPr>
        <w:t>1.  Provide your total estimate from SRS and judgment sample and explain how you selected the judgment sample and the SRS in breakout group.</w:t>
      </w:r>
    </w:p>
    <w:p w:rsidR="000146BF" w:rsidRDefault="000146BF" w:rsidP="000146BF">
      <w:pPr>
        <w:pStyle w:val="secondary"/>
        <w:spacing w:line="360" w:lineRule="auto"/>
        <w:rPr>
          <w:rFonts w:ascii="Times New Roman" w:hAnsi="Times New Roman"/>
          <w:sz w:val="24"/>
          <w:szCs w:val="24"/>
        </w:rPr>
      </w:pPr>
      <w:r>
        <w:rPr>
          <w:rFonts w:ascii="Times New Roman" w:hAnsi="Times New Roman"/>
          <w:sz w:val="24"/>
          <w:szCs w:val="24"/>
        </w:rPr>
        <w:t>Judgment: …………</w:t>
      </w:r>
      <w:r w:rsidR="00E41357">
        <w:rPr>
          <w:rFonts w:ascii="Times New Roman" w:hAnsi="Times New Roman"/>
          <w:sz w:val="24"/>
          <w:szCs w:val="24"/>
        </w:rPr>
        <w:t>920</w:t>
      </w:r>
      <w:r>
        <w:rPr>
          <w:rFonts w:ascii="Times New Roman" w:hAnsi="Times New Roman"/>
          <w:sz w:val="24"/>
          <w:szCs w:val="24"/>
        </w:rPr>
        <w:t>….                           SRS: ……………</w:t>
      </w:r>
      <w:r w:rsidR="00E41357">
        <w:rPr>
          <w:rFonts w:ascii="Times New Roman" w:hAnsi="Times New Roman"/>
          <w:sz w:val="24"/>
          <w:szCs w:val="24"/>
        </w:rPr>
        <w:t>780</w:t>
      </w:r>
      <w:r>
        <w:rPr>
          <w:rFonts w:ascii="Times New Roman" w:hAnsi="Times New Roman"/>
          <w:sz w:val="24"/>
          <w:szCs w:val="24"/>
        </w:rPr>
        <w:t>……</w:t>
      </w:r>
    </w:p>
    <w:p w:rsidR="000146BF" w:rsidRDefault="000146BF" w:rsidP="000146BF">
      <w:pPr>
        <w:pStyle w:val="secondary"/>
        <w:spacing w:line="360" w:lineRule="auto"/>
        <w:rPr>
          <w:rFonts w:ascii="Times New Roman" w:hAnsi="Times New Roman"/>
          <w:sz w:val="24"/>
          <w:szCs w:val="24"/>
        </w:rPr>
      </w:pPr>
    </w:p>
    <w:p w:rsidR="000146BF" w:rsidRDefault="000146BF" w:rsidP="000146BF">
      <w:pPr>
        <w:pStyle w:val="ListParagraph"/>
        <w:spacing w:line="360" w:lineRule="auto"/>
        <w:ind w:left="0"/>
      </w:pPr>
      <w:r>
        <w:t>2. Calculate the mean, maximu</w:t>
      </w:r>
      <w:r w:rsidR="00C901A4">
        <w:t>m, and minimum of each set of 15</w:t>
      </w:r>
      <w:r>
        <w:t xml:space="preserve"> estimates of tota</w:t>
      </w:r>
      <w:r w:rsidR="007F3592">
        <w:t>l area of the rectangles</w:t>
      </w:r>
      <w:r w:rsidRPr="00464F3B">
        <w:rPr>
          <w:color w:val="000000"/>
        </w:rPr>
        <w:t xml:space="preserve">. </w:t>
      </w:r>
      <w:r>
        <w:t>Record all in Table 1.</w:t>
      </w:r>
    </w:p>
    <w:p w:rsidR="000146BF" w:rsidRDefault="000146BF" w:rsidP="000146BF">
      <w:pPr>
        <w:pStyle w:val="ListParagraph"/>
        <w:spacing w:line="360" w:lineRule="auto"/>
        <w:ind w:left="0"/>
      </w:pPr>
    </w:p>
    <w:tbl>
      <w:tblPr>
        <w:tblW w:w="488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960"/>
        <w:gridCol w:w="1700"/>
        <w:gridCol w:w="2220"/>
      </w:tblGrid>
      <w:tr w:rsidR="000146BF" w:rsidRPr="00C2736D" w:rsidTr="00F76FA5">
        <w:trPr>
          <w:trHeight w:val="645"/>
          <w:jc w:val="center"/>
        </w:trPr>
        <w:tc>
          <w:tcPr>
            <w:tcW w:w="960" w:type="dxa"/>
            <w:shd w:val="clear" w:color="auto" w:fill="auto"/>
            <w:hideMark/>
          </w:tcPr>
          <w:p w:rsidR="000146BF" w:rsidRPr="00C2736D" w:rsidRDefault="000146BF" w:rsidP="00A95E79">
            <w:pPr>
              <w:rPr>
                <w:color w:val="000000"/>
              </w:rPr>
            </w:pPr>
            <w:r w:rsidRPr="00C2736D">
              <w:rPr>
                <w:color w:val="000000"/>
              </w:rPr>
              <w:t> </w:t>
            </w:r>
          </w:p>
        </w:tc>
        <w:tc>
          <w:tcPr>
            <w:tcW w:w="1700" w:type="dxa"/>
            <w:shd w:val="clear" w:color="auto" w:fill="auto"/>
            <w:hideMark/>
          </w:tcPr>
          <w:p w:rsidR="000146BF" w:rsidRPr="00C2736D" w:rsidRDefault="000146BF" w:rsidP="00A95E79">
            <w:pPr>
              <w:rPr>
                <w:color w:val="000000"/>
              </w:rPr>
            </w:pPr>
            <w:r w:rsidRPr="00C2736D">
              <w:rPr>
                <w:color w:val="000000"/>
              </w:rPr>
              <w:t>judgment samples</w:t>
            </w:r>
          </w:p>
        </w:tc>
        <w:tc>
          <w:tcPr>
            <w:tcW w:w="2220" w:type="dxa"/>
            <w:shd w:val="clear" w:color="auto" w:fill="auto"/>
            <w:hideMark/>
          </w:tcPr>
          <w:p w:rsidR="000146BF" w:rsidRPr="00C2736D" w:rsidRDefault="000146BF" w:rsidP="00A95E79">
            <w:pPr>
              <w:rPr>
                <w:color w:val="000000"/>
              </w:rPr>
            </w:pPr>
            <w:r w:rsidRPr="00C2736D">
              <w:rPr>
                <w:color w:val="000000"/>
              </w:rPr>
              <w:t>simple random samples</w:t>
            </w:r>
          </w:p>
        </w:tc>
      </w:tr>
      <w:tr w:rsidR="00C901A4" w:rsidRPr="00C2736D" w:rsidTr="00F76FA5">
        <w:trPr>
          <w:trHeight w:val="330"/>
          <w:jc w:val="center"/>
        </w:trPr>
        <w:tc>
          <w:tcPr>
            <w:tcW w:w="960" w:type="dxa"/>
            <w:shd w:val="clear" w:color="auto" w:fill="auto"/>
          </w:tcPr>
          <w:p w:rsidR="00C901A4" w:rsidRPr="00C2736D" w:rsidRDefault="00C901A4" w:rsidP="00A95E79">
            <w:pPr>
              <w:jc w:val="center"/>
              <w:rPr>
                <w:color w:val="000000"/>
              </w:rPr>
            </w:pPr>
            <w:r>
              <w:rPr>
                <w:color w:val="000000"/>
              </w:rPr>
              <w:t>1</w:t>
            </w:r>
          </w:p>
        </w:tc>
        <w:tc>
          <w:tcPr>
            <w:tcW w:w="1700" w:type="dxa"/>
            <w:shd w:val="clear" w:color="auto" w:fill="auto"/>
          </w:tcPr>
          <w:p w:rsidR="00C901A4" w:rsidRDefault="00C901A4" w:rsidP="00A95E79">
            <w:pPr>
              <w:jc w:val="right"/>
              <w:rPr>
                <w:color w:val="000000"/>
              </w:rPr>
            </w:pPr>
            <w:r>
              <w:rPr>
                <w:color w:val="000000"/>
              </w:rPr>
              <w:t>920</w:t>
            </w:r>
          </w:p>
        </w:tc>
        <w:tc>
          <w:tcPr>
            <w:tcW w:w="2220" w:type="dxa"/>
            <w:shd w:val="clear" w:color="auto" w:fill="auto"/>
          </w:tcPr>
          <w:p w:rsidR="00C901A4" w:rsidRDefault="00C901A4" w:rsidP="00A95E79">
            <w:pPr>
              <w:jc w:val="right"/>
              <w:rPr>
                <w:color w:val="000000"/>
              </w:rPr>
            </w:pPr>
            <w:r>
              <w:rPr>
                <w:color w:val="000000"/>
              </w:rPr>
              <w:t>750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2</w:t>
            </w:r>
          </w:p>
        </w:tc>
        <w:tc>
          <w:tcPr>
            <w:tcW w:w="1700" w:type="dxa"/>
            <w:shd w:val="clear" w:color="auto" w:fill="auto"/>
            <w:hideMark/>
          </w:tcPr>
          <w:p w:rsidR="000146BF" w:rsidRPr="00C2736D" w:rsidRDefault="00C901A4" w:rsidP="00A95E79">
            <w:pPr>
              <w:jc w:val="right"/>
              <w:rPr>
                <w:color w:val="000000"/>
              </w:rPr>
            </w:pPr>
            <w:r>
              <w:rPr>
                <w:color w:val="000000"/>
              </w:rPr>
              <w:t>940</w:t>
            </w:r>
          </w:p>
        </w:tc>
        <w:tc>
          <w:tcPr>
            <w:tcW w:w="2220" w:type="dxa"/>
            <w:shd w:val="clear" w:color="auto" w:fill="auto"/>
            <w:hideMark/>
          </w:tcPr>
          <w:p w:rsidR="000146BF" w:rsidRPr="00C2736D" w:rsidRDefault="00C901A4" w:rsidP="00A95E79">
            <w:pPr>
              <w:jc w:val="right"/>
              <w:rPr>
                <w:color w:val="000000"/>
              </w:rPr>
            </w:pPr>
            <w:r>
              <w:rPr>
                <w:color w:val="000000"/>
              </w:rPr>
              <w:t>780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3</w:t>
            </w:r>
          </w:p>
        </w:tc>
        <w:tc>
          <w:tcPr>
            <w:tcW w:w="1700" w:type="dxa"/>
            <w:shd w:val="clear" w:color="auto" w:fill="auto"/>
            <w:hideMark/>
          </w:tcPr>
          <w:p w:rsidR="000146BF" w:rsidRPr="00C2736D" w:rsidRDefault="000146BF" w:rsidP="00A95E79">
            <w:pPr>
              <w:jc w:val="right"/>
              <w:rPr>
                <w:color w:val="000000"/>
              </w:rPr>
            </w:pPr>
            <w:r>
              <w:rPr>
                <w:color w:val="000000"/>
              </w:rPr>
              <w:t>850</w:t>
            </w:r>
          </w:p>
        </w:tc>
        <w:tc>
          <w:tcPr>
            <w:tcW w:w="2220" w:type="dxa"/>
            <w:shd w:val="clear" w:color="auto" w:fill="auto"/>
            <w:hideMark/>
          </w:tcPr>
          <w:p w:rsidR="000146BF" w:rsidRPr="00C2736D" w:rsidRDefault="000146BF" w:rsidP="00A95E79">
            <w:pPr>
              <w:jc w:val="right"/>
              <w:rPr>
                <w:color w:val="000000"/>
              </w:rPr>
            </w:pPr>
            <w:r>
              <w:rPr>
                <w:color w:val="000000"/>
              </w:rPr>
              <w:t>590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4</w:t>
            </w:r>
          </w:p>
        </w:tc>
        <w:tc>
          <w:tcPr>
            <w:tcW w:w="1700" w:type="dxa"/>
            <w:shd w:val="clear" w:color="auto" w:fill="auto"/>
            <w:hideMark/>
          </w:tcPr>
          <w:p w:rsidR="000146BF" w:rsidRPr="00C2736D" w:rsidRDefault="000146BF" w:rsidP="00A95E79">
            <w:pPr>
              <w:jc w:val="right"/>
              <w:rPr>
                <w:color w:val="000000"/>
              </w:rPr>
            </w:pPr>
            <w:r>
              <w:rPr>
                <w:color w:val="000000"/>
              </w:rPr>
              <w:t>790</w:t>
            </w:r>
          </w:p>
        </w:tc>
        <w:tc>
          <w:tcPr>
            <w:tcW w:w="2220" w:type="dxa"/>
            <w:shd w:val="clear" w:color="auto" w:fill="auto"/>
            <w:hideMark/>
          </w:tcPr>
          <w:p w:rsidR="000146BF" w:rsidRPr="00C2736D" w:rsidRDefault="000146BF" w:rsidP="00A95E79">
            <w:pPr>
              <w:jc w:val="right"/>
              <w:rPr>
                <w:color w:val="000000"/>
              </w:rPr>
            </w:pPr>
            <w:r w:rsidRPr="00C2736D">
              <w:rPr>
                <w:color w:val="000000"/>
              </w:rPr>
              <w:t>7</w:t>
            </w:r>
            <w:r>
              <w:rPr>
                <w:color w:val="000000"/>
              </w:rPr>
              <w:t>80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5</w:t>
            </w:r>
          </w:p>
        </w:tc>
        <w:tc>
          <w:tcPr>
            <w:tcW w:w="1700" w:type="dxa"/>
            <w:shd w:val="clear" w:color="auto" w:fill="auto"/>
            <w:hideMark/>
          </w:tcPr>
          <w:p w:rsidR="000146BF" w:rsidRPr="00C2736D" w:rsidRDefault="00C901A4" w:rsidP="00A95E79">
            <w:pPr>
              <w:jc w:val="right"/>
              <w:rPr>
                <w:color w:val="000000"/>
              </w:rPr>
            </w:pPr>
            <w:r>
              <w:rPr>
                <w:color w:val="000000"/>
              </w:rPr>
              <w:t>890</w:t>
            </w:r>
          </w:p>
        </w:tc>
        <w:tc>
          <w:tcPr>
            <w:tcW w:w="2220" w:type="dxa"/>
            <w:shd w:val="clear" w:color="auto" w:fill="auto"/>
            <w:hideMark/>
          </w:tcPr>
          <w:p w:rsidR="000146BF" w:rsidRPr="00C2736D" w:rsidRDefault="000146BF" w:rsidP="00A95E79">
            <w:pPr>
              <w:jc w:val="right"/>
              <w:rPr>
                <w:color w:val="000000"/>
              </w:rPr>
            </w:pPr>
            <w:r>
              <w:rPr>
                <w:color w:val="000000"/>
              </w:rPr>
              <w:t>660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6</w:t>
            </w:r>
          </w:p>
        </w:tc>
        <w:tc>
          <w:tcPr>
            <w:tcW w:w="1700" w:type="dxa"/>
            <w:shd w:val="clear" w:color="auto" w:fill="auto"/>
            <w:hideMark/>
          </w:tcPr>
          <w:p w:rsidR="000146BF" w:rsidRPr="00C2736D" w:rsidRDefault="000146BF" w:rsidP="00A95E79">
            <w:pPr>
              <w:jc w:val="right"/>
              <w:rPr>
                <w:color w:val="000000"/>
              </w:rPr>
            </w:pPr>
            <w:r>
              <w:rPr>
                <w:color w:val="000000"/>
              </w:rPr>
              <w:t>780</w:t>
            </w:r>
          </w:p>
        </w:tc>
        <w:tc>
          <w:tcPr>
            <w:tcW w:w="2220" w:type="dxa"/>
            <w:shd w:val="clear" w:color="auto" w:fill="auto"/>
            <w:hideMark/>
          </w:tcPr>
          <w:p w:rsidR="000146BF" w:rsidRPr="00C2736D" w:rsidRDefault="00C901A4" w:rsidP="00A95E79">
            <w:pPr>
              <w:jc w:val="right"/>
              <w:rPr>
                <w:color w:val="000000"/>
              </w:rPr>
            </w:pPr>
            <w:r>
              <w:rPr>
                <w:color w:val="000000"/>
              </w:rPr>
              <w:t>870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7</w:t>
            </w:r>
          </w:p>
        </w:tc>
        <w:tc>
          <w:tcPr>
            <w:tcW w:w="1700" w:type="dxa"/>
            <w:shd w:val="clear" w:color="auto" w:fill="auto"/>
            <w:hideMark/>
          </w:tcPr>
          <w:p w:rsidR="000146BF" w:rsidRPr="00C2736D" w:rsidRDefault="000146BF" w:rsidP="00A95E79">
            <w:pPr>
              <w:jc w:val="right"/>
              <w:rPr>
                <w:color w:val="000000"/>
              </w:rPr>
            </w:pPr>
            <w:r>
              <w:rPr>
                <w:color w:val="000000"/>
              </w:rPr>
              <w:t>900</w:t>
            </w:r>
          </w:p>
        </w:tc>
        <w:tc>
          <w:tcPr>
            <w:tcW w:w="2220" w:type="dxa"/>
            <w:shd w:val="clear" w:color="auto" w:fill="auto"/>
            <w:hideMark/>
          </w:tcPr>
          <w:p w:rsidR="000146BF" w:rsidRPr="00C2736D" w:rsidRDefault="000146BF" w:rsidP="00A95E79">
            <w:pPr>
              <w:jc w:val="right"/>
              <w:rPr>
                <w:color w:val="000000"/>
              </w:rPr>
            </w:pPr>
            <w:r>
              <w:rPr>
                <w:color w:val="000000"/>
              </w:rPr>
              <w:t>830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8</w:t>
            </w:r>
          </w:p>
        </w:tc>
        <w:tc>
          <w:tcPr>
            <w:tcW w:w="1700" w:type="dxa"/>
            <w:shd w:val="clear" w:color="auto" w:fill="auto"/>
            <w:hideMark/>
          </w:tcPr>
          <w:p w:rsidR="000146BF" w:rsidRPr="00C2736D" w:rsidRDefault="000146BF" w:rsidP="00A95E79">
            <w:pPr>
              <w:jc w:val="right"/>
              <w:rPr>
                <w:color w:val="000000"/>
              </w:rPr>
            </w:pPr>
            <w:r>
              <w:rPr>
                <w:color w:val="000000"/>
              </w:rPr>
              <w:t>890</w:t>
            </w:r>
          </w:p>
        </w:tc>
        <w:tc>
          <w:tcPr>
            <w:tcW w:w="2220" w:type="dxa"/>
            <w:shd w:val="clear" w:color="auto" w:fill="auto"/>
            <w:hideMark/>
          </w:tcPr>
          <w:p w:rsidR="000146BF" w:rsidRPr="00C2736D" w:rsidRDefault="000146BF" w:rsidP="00A95E79">
            <w:pPr>
              <w:jc w:val="right"/>
              <w:rPr>
                <w:color w:val="000000"/>
              </w:rPr>
            </w:pPr>
            <w:r>
              <w:rPr>
                <w:color w:val="000000"/>
              </w:rPr>
              <w:t>980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9</w:t>
            </w:r>
          </w:p>
        </w:tc>
        <w:tc>
          <w:tcPr>
            <w:tcW w:w="1700" w:type="dxa"/>
            <w:shd w:val="clear" w:color="auto" w:fill="auto"/>
            <w:hideMark/>
          </w:tcPr>
          <w:p w:rsidR="000146BF" w:rsidRPr="00C2736D" w:rsidRDefault="000146BF" w:rsidP="00A95E79">
            <w:pPr>
              <w:jc w:val="right"/>
              <w:rPr>
                <w:color w:val="000000"/>
              </w:rPr>
            </w:pPr>
            <w:r>
              <w:rPr>
                <w:color w:val="000000"/>
              </w:rPr>
              <w:t>1270</w:t>
            </w:r>
          </w:p>
        </w:tc>
        <w:tc>
          <w:tcPr>
            <w:tcW w:w="2220" w:type="dxa"/>
            <w:shd w:val="clear" w:color="auto" w:fill="auto"/>
            <w:hideMark/>
          </w:tcPr>
          <w:p w:rsidR="000146BF" w:rsidRPr="00C2736D" w:rsidRDefault="000146BF" w:rsidP="00A95E79">
            <w:pPr>
              <w:jc w:val="right"/>
              <w:rPr>
                <w:color w:val="000000"/>
              </w:rPr>
            </w:pPr>
            <w:r>
              <w:rPr>
                <w:color w:val="000000"/>
              </w:rPr>
              <w:t>720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10</w:t>
            </w:r>
          </w:p>
        </w:tc>
        <w:tc>
          <w:tcPr>
            <w:tcW w:w="1700" w:type="dxa"/>
            <w:shd w:val="clear" w:color="auto" w:fill="auto"/>
            <w:hideMark/>
          </w:tcPr>
          <w:p w:rsidR="000146BF" w:rsidRPr="00C2736D" w:rsidRDefault="000146BF" w:rsidP="00A95E79">
            <w:pPr>
              <w:jc w:val="right"/>
              <w:rPr>
                <w:color w:val="000000"/>
              </w:rPr>
            </w:pPr>
            <w:r>
              <w:rPr>
                <w:color w:val="000000"/>
              </w:rPr>
              <w:t>81</w:t>
            </w:r>
            <w:r w:rsidRPr="00C2736D">
              <w:rPr>
                <w:color w:val="000000"/>
              </w:rPr>
              <w:t>0</w:t>
            </w:r>
          </w:p>
        </w:tc>
        <w:tc>
          <w:tcPr>
            <w:tcW w:w="2220" w:type="dxa"/>
            <w:shd w:val="clear" w:color="auto" w:fill="auto"/>
            <w:hideMark/>
          </w:tcPr>
          <w:p w:rsidR="000146BF" w:rsidRPr="00C2736D" w:rsidRDefault="000146BF" w:rsidP="00A95E79">
            <w:pPr>
              <w:jc w:val="right"/>
              <w:rPr>
                <w:color w:val="000000"/>
              </w:rPr>
            </w:pPr>
            <w:r>
              <w:rPr>
                <w:color w:val="000000"/>
              </w:rPr>
              <w:t>650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11</w:t>
            </w:r>
          </w:p>
        </w:tc>
        <w:tc>
          <w:tcPr>
            <w:tcW w:w="1700" w:type="dxa"/>
            <w:shd w:val="clear" w:color="auto" w:fill="auto"/>
            <w:hideMark/>
          </w:tcPr>
          <w:p w:rsidR="000146BF" w:rsidRPr="00C2736D" w:rsidRDefault="000146BF" w:rsidP="00A95E79">
            <w:pPr>
              <w:jc w:val="right"/>
              <w:rPr>
                <w:color w:val="000000"/>
              </w:rPr>
            </w:pPr>
            <w:r w:rsidRPr="00C2736D">
              <w:rPr>
                <w:color w:val="000000"/>
              </w:rPr>
              <w:t>1040</w:t>
            </w:r>
          </w:p>
        </w:tc>
        <w:tc>
          <w:tcPr>
            <w:tcW w:w="2220" w:type="dxa"/>
            <w:shd w:val="clear" w:color="auto" w:fill="auto"/>
            <w:hideMark/>
          </w:tcPr>
          <w:p w:rsidR="000146BF" w:rsidRPr="00C2736D" w:rsidRDefault="000146BF" w:rsidP="00A95E79">
            <w:pPr>
              <w:jc w:val="right"/>
              <w:rPr>
                <w:color w:val="000000"/>
              </w:rPr>
            </w:pPr>
            <w:r>
              <w:rPr>
                <w:color w:val="000000"/>
              </w:rPr>
              <w:t>620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12</w:t>
            </w:r>
          </w:p>
        </w:tc>
        <w:tc>
          <w:tcPr>
            <w:tcW w:w="1700" w:type="dxa"/>
            <w:shd w:val="clear" w:color="auto" w:fill="auto"/>
            <w:hideMark/>
          </w:tcPr>
          <w:p w:rsidR="000146BF" w:rsidRPr="00C2736D" w:rsidRDefault="00C901A4" w:rsidP="00A95E79">
            <w:pPr>
              <w:jc w:val="right"/>
              <w:rPr>
                <w:color w:val="000000"/>
              </w:rPr>
            </w:pPr>
            <w:r>
              <w:rPr>
                <w:color w:val="000000"/>
              </w:rPr>
              <w:t>790</w:t>
            </w:r>
          </w:p>
        </w:tc>
        <w:tc>
          <w:tcPr>
            <w:tcW w:w="2220" w:type="dxa"/>
            <w:shd w:val="clear" w:color="auto" w:fill="auto"/>
            <w:hideMark/>
          </w:tcPr>
          <w:p w:rsidR="000146BF" w:rsidRPr="00C2736D" w:rsidRDefault="000146BF" w:rsidP="00A95E79">
            <w:pPr>
              <w:jc w:val="right"/>
              <w:rPr>
                <w:color w:val="000000"/>
              </w:rPr>
            </w:pPr>
            <w:r w:rsidRPr="00C2736D">
              <w:rPr>
                <w:color w:val="000000"/>
              </w:rPr>
              <w:t>7</w:t>
            </w:r>
            <w:r>
              <w:rPr>
                <w:color w:val="000000"/>
              </w:rPr>
              <w:t>0</w:t>
            </w:r>
            <w:r w:rsidRPr="00C2736D">
              <w:rPr>
                <w:color w:val="000000"/>
              </w:rPr>
              <w:t>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13</w:t>
            </w:r>
          </w:p>
        </w:tc>
        <w:tc>
          <w:tcPr>
            <w:tcW w:w="1700" w:type="dxa"/>
            <w:shd w:val="clear" w:color="auto" w:fill="auto"/>
            <w:hideMark/>
          </w:tcPr>
          <w:p w:rsidR="000146BF" w:rsidRPr="00C2736D" w:rsidRDefault="000146BF" w:rsidP="00A95E79">
            <w:pPr>
              <w:jc w:val="right"/>
              <w:rPr>
                <w:color w:val="000000"/>
              </w:rPr>
            </w:pPr>
            <w:r w:rsidRPr="00C2736D">
              <w:rPr>
                <w:color w:val="000000"/>
              </w:rPr>
              <w:t> 890</w:t>
            </w:r>
          </w:p>
        </w:tc>
        <w:tc>
          <w:tcPr>
            <w:tcW w:w="2220" w:type="dxa"/>
            <w:shd w:val="clear" w:color="auto" w:fill="auto"/>
            <w:hideMark/>
          </w:tcPr>
          <w:p w:rsidR="000146BF" w:rsidRPr="00C2736D" w:rsidRDefault="000146BF" w:rsidP="00A95E79">
            <w:pPr>
              <w:jc w:val="right"/>
              <w:rPr>
                <w:color w:val="000000"/>
              </w:rPr>
            </w:pPr>
            <w:r w:rsidRPr="00C2736D">
              <w:rPr>
                <w:color w:val="000000"/>
              </w:rPr>
              <w:t> </w:t>
            </w:r>
            <w:r>
              <w:rPr>
                <w:color w:val="000000"/>
              </w:rPr>
              <w:t>7</w:t>
            </w:r>
            <w:r w:rsidRPr="00C2736D">
              <w:rPr>
                <w:color w:val="000000"/>
              </w:rPr>
              <w:t>70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14</w:t>
            </w:r>
          </w:p>
        </w:tc>
        <w:tc>
          <w:tcPr>
            <w:tcW w:w="1700" w:type="dxa"/>
            <w:shd w:val="clear" w:color="auto" w:fill="auto"/>
            <w:hideMark/>
          </w:tcPr>
          <w:p w:rsidR="000146BF" w:rsidRPr="00C2736D" w:rsidRDefault="000146BF" w:rsidP="00A95E79">
            <w:pPr>
              <w:jc w:val="right"/>
              <w:rPr>
                <w:color w:val="000000"/>
              </w:rPr>
            </w:pPr>
            <w:r w:rsidRPr="00C2736D">
              <w:rPr>
                <w:color w:val="000000"/>
              </w:rPr>
              <w:t> 850</w:t>
            </w:r>
          </w:p>
        </w:tc>
        <w:tc>
          <w:tcPr>
            <w:tcW w:w="2220" w:type="dxa"/>
            <w:shd w:val="clear" w:color="auto" w:fill="auto"/>
            <w:hideMark/>
          </w:tcPr>
          <w:p w:rsidR="000146BF" w:rsidRPr="00C2736D" w:rsidRDefault="000146BF" w:rsidP="00A95E79">
            <w:pPr>
              <w:jc w:val="right"/>
              <w:rPr>
                <w:color w:val="000000"/>
              </w:rPr>
            </w:pPr>
            <w:r w:rsidRPr="00C2736D">
              <w:rPr>
                <w:color w:val="000000"/>
              </w:rPr>
              <w:t> </w:t>
            </w:r>
            <w:r>
              <w:rPr>
                <w:color w:val="000000"/>
              </w:rPr>
              <w:t>85</w:t>
            </w:r>
            <w:r w:rsidRPr="00C2736D">
              <w:rPr>
                <w:color w:val="000000"/>
              </w:rPr>
              <w:t>0</w:t>
            </w:r>
          </w:p>
        </w:tc>
      </w:tr>
      <w:tr w:rsidR="000146BF" w:rsidRPr="00C2736D" w:rsidTr="00F76FA5">
        <w:trPr>
          <w:trHeight w:val="330"/>
          <w:jc w:val="center"/>
        </w:trPr>
        <w:tc>
          <w:tcPr>
            <w:tcW w:w="960" w:type="dxa"/>
            <w:shd w:val="clear" w:color="auto" w:fill="auto"/>
            <w:hideMark/>
          </w:tcPr>
          <w:p w:rsidR="000146BF" w:rsidRPr="00C2736D" w:rsidRDefault="00C901A4" w:rsidP="00A95E79">
            <w:pPr>
              <w:jc w:val="center"/>
              <w:rPr>
                <w:color w:val="000000"/>
              </w:rPr>
            </w:pPr>
            <w:r>
              <w:rPr>
                <w:color w:val="000000"/>
              </w:rPr>
              <w:t>15</w:t>
            </w:r>
          </w:p>
        </w:tc>
        <w:tc>
          <w:tcPr>
            <w:tcW w:w="1700" w:type="dxa"/>
            <w:shd w:val="clear" w:color="auto" w:fill="auto"/>
            <w:hideMark/>
          </w:tcPr>
          <w:p w:rsidR="000146BF" w:rsidRPr="00C2736D" w:rsidRDefault="00C901A4" w:rsidP="00A95E79">
            <w:pPr>
              <w:jc w:val="right"/>
              <w:rPr>
                <w:color w:val="000000"/>
              </w:rPr>
            </w:pPr>
            <w:r>
              <w:rPr>
                <w:color w:val="000000"/>
              </w:rPr>
              <w:t>1320</w:t>
            </w:r>
          </w:p>
        </w:tc>
        <w:tc>
          <w:tcPr>
            <w:tcW w:w="2220" w:type="dxa"/>
            <w:shd w:val="clear" w:color="auto" w:fill="auto"/>
            <w:hideMark/>
          </w:tcPr>
          <w:p w:rsidR="000146BF" w:rsidRPr="00C2736D" w:rsidRDefault="000146BF" w:rsidP="00A95E79">
            <w:pPr>
              <w:jc w:val="right"/>
              <w:rPr>
                <w:color w:val="000000"/>
              </w:rPr>
            </w:pPr>
            <w:r w:rsidRPr="00C2736D">
              <w:rPr>
                <w:color w:val="000000"/>
              </w:rPr>
              <w:t> 780</w:t>
            </w:r>
          </w:p>
        </w:tc>
      </w:tr>
    </w:tbl>
    <w:p w:rsidR="000146BF" w:rsidRPr="0025594E" w:rsidRDefault="000146BF" w:rsidP="0025594E">
      <w:pPr>
        <w:pStyle w:val="secondary"/>
        <w:spacing w:line="360" w:lineRule="auto"/>
        <w:rPr>
          <w:rFonts w:ascii="Times New Roman" w:hAnsi="Times New Roman"/>
          <w:sz w:val="24"/>
          <w:szCs w:val="24"/>
        </w:rPr>
      </w:pPr>
      <w:r>
        <w:rPr>
          <w:rFonts w:ascii="Times New Roman" w:hAnsi="Times New Roman"/>
          <w:sz w:val="24"/>
          <w:szCs w:val="24"/>
        </w:rPr>
        <w:br w:type="page"/>
      </w:r>
    </w:p>
    <w:p w:rsidR="000146BF" w:rsidRDefault="000146BF" w:rsidP="000146BF">
      <w:pPr>
        <w:pStyle w:val="BodyTextIndent3"/>
        <w:ind w:left="900"/>
        <w:jc w:val="center"/>
      </w:pPr>
      <w:r>
        <w:lastRenderedPageBreak/>
        <w:t>Table 1. Mean, maximum, and minimum of</w:t>
      </w:r>
      <w:r w:rsidR="0025594E">
        <w:t xml:space="preserve"> estimates of total area from 15 judgment samples and from 15</w:t>
      </w:r>
      <w:r>
        <w:t xml:space="preserve"> simple random samples (SRS)</w:t>
      </w:r>
    </w:p>
    <w:p w:rsidR="000146BF" w:rsidRDefault="000146BF" w:rsidP="000146BF">
      <w:pPr>
        <w:pStyle w:val="BodyTextIndent3"/>
        <w:ind w:left="900"/>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0"/>
        <w:gridCol w:w="2070"/>
        <w:gridCol w:w="2070"/>
      </w:tblGrid>
      <w:tr w:rsidR="000146BF" w:rsidTr="00A95E79">
        <w:tc>
          <w:tcPr>
            <w:tcW w:w="2430" w:type="dxa"/>
          </w:tcPr>
          <w:p w:rsidR="000146BF" w:rsidRDefault="000146BF" w:rsidP="00A95E79">
            <w:pPr>
              <w:pStyle w:val="BodyTextIndent3"/>
              <w:ind w:left="0"/>
            </w:pPr>
          </w:p>
        </w:tc>
        <w:tc>
          <w:tcPr>
            <w:tcW w:w="2070" w:type="dxa"/>
          </w:tcPr>
          <w:p w:rsidR="000146BF" w:rsidRDefault="000146BF" w:rsidP="00A95E79">
            <w:pPr>
              <w:pStyle w:val="BodyTextIndent3"/>
              <w:ind w:left="0"/>
              <w:jc w:val="center"/>
            </w:pPr>
            <w:r>
              <w:t>Judgment samples</w:t>
            </w:r>
          </w:p>
        </w:tc>
        <w:tc>
          <w:tcPr>
            <w:tcW w:w="2070" w:type="dxa"/>
          </w:tcPr>
          <w:p w:rsidR="000146BF" w:rsidRDefault="000146BF" w:rsidP="00A95E79">
            <w:pPr>
              <w:pStyle w:val="BodyTextIndent3"/>
              <w:ind w:left="0"/>
              <w:jc w:val="center"/>
            </w:pPr>
            <w:r>
              <w:t>SRS</w:t>
            </w:r>
          </w:p>
        </w:tc>
      </w:tr>
      <w:tr w:rsidR="000146BF" w:rsidTr="00A95E79">
        <w:tc>
          <w:tcPr>
            <w:tcW w:w="2430" w:type="dxa"/>
          </w:tcPr>
          <w:p w:rsidR="000146BF" w:rsidRDefault="000146BF" w:rsidP="00A95E79">
            <w:pPr>
              <w:pStyle w:val="BodyTextIndent3"/>
              <w:ind w:left="0"/>
            </w:pPr>
            <w:r>
              <w:t>Mean total area</w:t>
            </w:r>
          </w:p>
        </w:tc>
        <w:tc>
          <w:tcPr>
            <w:tcW w:w="2070" w:type="dxa"/>
          </w:tcPr>
          <w:p w:rsidR="000146BF" w:rsidRDefault="00B40470" w:rsidP="00A95E79">
            <w:pPr>
              <w:pStyle w:val="BodyTextIndent3"/>
              <w:ind w:left="0"/>
              <w:jc w:val="center"/>
            </w:pPr>
            <w:r>
              <w:t>928.7</w:t>
            </w:r>
          </w:p>
        </w:tc>
        <w:tc>
          <w:tcPr>
            <w:tcW w:w="2070" w:type="dxa"/>
          </w:tcPr>
          <w:p w:rsidR="000146BF" w:rsidRDefault="00B40470" w:rsidP="00A95E79">
            <w:pPr>
              <w:pStyle w:val="BodyTextIndent3"/>
              <w:ind w:left="0"/>
              <w:jc w:val="center"/>
            </w:pPr>
            <w:r>
              <w:t>755.3</w:t>
            </w:r>
          </w:p>
        </w:tc>
      </w:tr>
      <w:tr w:rsidR="000146BF" w:rsidTr="00A95E79">
        <w:tc>
          <w:tcPr>
            <w:tcW w:w="2430" w:type="dxa"/>
          </w:tcPr>
          <w:p w:rsidR="000146BF" w:rsidRDefault="000146BF" w:rsidP="00A95E79">
            <w:pPr>
              <w:pStyle w:val="BodyTextIndent3"/>
              <w:ind w:left="0"/>
            </w:pPr>
            <w:r>
              <w:t>Minimum total area</w:t>
            </w:r>
          </w:p>
        </w:tc>
        <w:tc>
          <w:tcPr>
            <w:tcW w:w="2070" w:type="dxa"/>
          </w:tcPr>
          <w:p w:rsidR="000146BF" w:rsidRDefault="00B40470" w:rsidP="00A95E79">
            <w:pPr>
              <w:pStyle w:val="BodyTextIndent3"/>
              <w:ind w:left="0"/>
              <w:jc w:val="center"/>
            </w:pPr>
            <w:r>
              <w:t>780</w:t>
            </w:r>
          </w:p>
        </w:tc>
        <w:tc>
          <w:tcPr>
            <w:tcW w:w="2070" w:type="dxa"/>
          </w:tcPr>
          <w:p w:rsidR="000146BF" w:rsidRDefault="00B40470" w:rsidP="00A95E79">
            <w:pPr>
              <w:pStyle w:val="BodyTextIndent3"/>
              <w:ind w:left="0"/>
              <w:jc w:val="center"/>
            </w:pPr>
            <w:r>
              <w:t>590</w:t>
            </w:r>
          </w:p>
        </w:tc>
      </w:tr>
      <w:tr w:rsidR="000146BF" w:rsidTr="00A95E79">
        <w:tc>
          <w:tcPr>
            <w:tcW w:w="2430" w:type="dxa"/>
          </w:tcPr>
          <w:p w:rsidR="000146BF" w:rsidRDefault="000146BF" w:rsidP="00A95E79">
            <w:pPr>
              <w:pStyle w:val="BodyTextIndent3"/>
              <w:ind w:left="0"/>
            </w:pPr>
            <w:r>
              <w:t>Maximum total area</w:t>
            </w:r>
          </w:p>
        </w:tc>
        <w:tc>
          <w:tcPr>
            <w:tcW w:w="2070" w:type="dxa"/>
          </w:tcPr>
          <w:p w:rsidR="000146BF" w:rsidRDefault="00B40470" w:rsidP="00A95E79">
            <w:pPr>
              <w:pStyle w:val="BodyTextIndent3"/>
              <w:ind w:left="0"/>
              <w:jc w:val="center"/>
            </w:pPr>
            <w:r>
              <w:t>1320</w:t>
            </w:r>
          </w:p>
        </w:tc>
        <w:tc>
          <w:tcPr>
            <w:tcW w:w="2070" w:type="dxa"/>
          </w:tcPr>
          <w:p w:rsidR="000146BF" w:rsidRDefault="00B40470" w:rsidP="00A95E79">
            <w:pPr>
              <w:pStyle w:val="BodyTextIndent3"/>
              <w:ind w:left="0"/>
              <w:jc w:val="center"/>
            </w:pPr>
            <w:r>
              <w:t>980</w:t>
            </w:r>
          </w:p>
        </w:tc>
      </w:tr>
    </w:tbl>
    <w:p w:rsidR="000146BF" w:rsidRDefault="000146BF" w:rsidP="000146BF">
      <w:pPr>
        <w:pStyle w:val="BodyTextIndent3"/>
        <w:ind w:left="0"/>
      </w:pPr>
    </w:p>
    <w:p w:rsidR="000146BF" w:rsidRDefault="000146BF" w:rsidP="000146BF">
      <w:pPr>
        <w:pStyle w:val="BodyTextIndent3"/>
        <w:ind w:left="0"/>
      </w:pPr>
      <w:r>
        <w:t>3. Sketch (or use a software package of your choice and cu</w:t>
      </w:r>
      <w:r w:rsidR="0025594E">
        <w:t>t-&amp;-paste) a histogram of the 15</w:t>
      </w:r>
      <w:r>
        <w:t xml:space="preserve"> judgment samples values of total area.</w:t>
      </w:r>
    </w:p>
    <w:p w:rsidR="000146BF" w:rsidRDefault="000146BF" w:rsidP="000146BF">
      <w:pPr>
        <w:pStyle w:val="BodyTextIndent3"/>
        <w:ind w:left="0"/>
      </w:pPr>
    </w:p>
    <w:p w:rsidR="000146BF" w:rsidRDefault="00952D55" w:rsidP="000146BF">
      <w:pPr>
        <w:pStyle w:val="BodyTextIndent3"/>
        <w:ind w:left="0"/>
      </w:pPr>
      <w:r>
        <w:rPr>
          <w:noProof/>
          <w:lang w:eastAsia="ja-JP"/>
        </w:rPr>
        <w:drawing>
          <wp:inline distT="0" distB="0" distL="0" distR="0" wp14:anchorId="396CFAF9" wp14:editId="24E5079D">
            <wp:extent cx="4572000" cy="2743200"/>
            <wp:effectExtent l="0" t="0" r="0" b="0"/>
            <wp:docPr id="1" name="Chart 1">
              <a:extLst xmlns:a="http://schemas.openxmlformats.org/drawingml/2006/main">
                <a:ext uri="{FF2B5EF4-FFF2-40B4-BE49-F238E27FC236}">
                  <a16:creationId xmlns:a16="http://schemas.microsoft.com/office/drawing/2014/main" id="{56A7619A-E653-4B22-89F7-F3A8640DE3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146BF" w:rsidRDefault="000146BF" w:rsidP="000146BF">
      <w:pPr>
        <w:pStyle w:val="BodyTextIndent3"/>
        <w:ind w:left="0"/>
      </w:pPr>
    </w:p>
    <w:p w:rsidR="000146BF" w:rsidRDefault="000146BF" w:rsidP="000146BF">
      <w:pPr>
        <w:pStyle w:val="BodyTextIndent3"/>
        <w:ind w:left="0"/>
      </w:pPr>
      <w:r>
        <w:t>4. Sketch (or use a software package of your choice and cut</w:t>
      </w:r>
      <w:r w:rsidR="0025594E">
        <w:t xml:space="preserve">-&amp;-paste) a histogram of the 15 </w:t>
      </w:r>
      <w:r>
        <w:t>SRS values of total area.</w:t>
      </w:r>
    </w:p>
    <w:p w:rsidR="000146BF" w:rsidRDefault="00952D55" w:rsidP="000146BF">
      <w:pPr>
        <w:pStyle w:val="BodyTextIndent3"/>
        <w:ind w:left="0"/>
      </w:pPr>
      <w:r>
        <w:rPr>
          <w:noProof/>
          <w:lang w:eastAsia="ja-JP"/>
        </w:rPr>
        <w:drawing>
          <wp:inline distT="0" distB="0" distL="0" distR="0" wp14:anchorId="2F1DD146" wp14:editId="25F23536">
            <wp:extent cx="4572000" cy="2743200"/>
            <wp:effectExtent l="0" t="0" r="0" b="0"/>
            <wp:docPr id="2" name="Chart 2">
              <a:extLst xmlns:a="http://schemas.openxmlformats.org/drawingml/2006/main">
                <a:ext uri="{FF2B5EF4-FFF2-40B4-BE49-F238E27FC236}">
                  <a16:creationId xmlns:a16="http://schemas.microsoft.com/office/drawing/2014/main" id="{49261B8D-9375-4B4D-9591-848D6E9497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146BF" w:rsidRDefault="000146BF" w:rsidP="000146BF">
      <w:pPr>
        <w:pStyle w:val="BodyTextIndent3"/>
        <w:ind w:left="0"/>
      </w:pPr>
    </w:p>
    <w:p w:rsidR="000146BF" w:rsidRDefault="000146BF" w:rsidP="000146BF">
      <w:pPr>
        <w:pStyle w:val="BodyTextIndent3"/>
        <w:ind w:left="0"/>
      </w:pPr>
      <w:r>
        <w:lastRenderedPageBreak/>
        <w:t>5. The mean of estimates of total area from several SRSs is designed to be an estimate of population total area, the sum of the areas of all 100 rectangles. Comment on the performance of the mean of the estimates of total area from the class’s SRSs to that of mean of the estimates of total area from our judgment samples, as far as how they performs for estimating the true population total area.</w:t>
      </w:r>
    </w:p>
    <w:p w:rsidR="00620881" w:rsidRDefault="00620881" w:rsidP="000146BF">
      <w:pPr>
        <w:pStyle w:val="BodyTextIndent3"/>
        <w:ind w:left="0"/>
      </w:pPr>
    </w:p>
    <w:p w:rsidR="000146BF" w:rsidRDefault="00620881" w:rsidP="000146BF">
      <w:pPr>
        <w:pStyle w:val="BodyTextIndent3"/>
        <w:ind w:left="0"/>
      </w:pPr>
      <w:r>
        <w:t>The mean of the SRS samples performed better than the mean of the judgement samples. Human judgement, at least in my case,</w:t>
      </w:r>
      <w:r w:rsidR="000E6615">
        <w:t xml:space="preserve"> tried to choose a random sample of sizes rather than just a random sample of rectangles. This led me to underrepresent the smaller rectangles and over-estimate the population mean.</w:t>
      </w:r>
    </w:p>
    <w:p w:rsidR="000146BF" w:rsidRDefault="000146BF" w:rsidP="000146BF">
      <w:pPr>
        <w:pStyle w:val="BodyTextIndent3"/>
        <w:ind w:left="0"/>
      </w:pPr>
    </w:p>
    <w:p w:rsidR="000146BF" w:rsidRDefault="0025594E" w:rsidP="000146BF">
      <w:pPr>
        <w:pStyle w:val="BodyTextIndent3"/>
        <w:ind w:left="0"/>
      </w:pPr>
      <w:r>
        <w:t>6. The 15</w:t>
      </w:r>
      <w:r w:rsidR="000146BF">
        <w:t xml:space="preserve"> values of estimated total area the class obtained are not the only possible values of the total area that could be obtained from a SRS. What is the minimum possible value of total area that could be obtained from a SRS of size 10 from the rectangle population? __</w:t>
      </w:r>
      <w:r w:rsidR="00B94B78">
        <w:t>1</w:t>
      </w:r>
      <w:r w:rsidR="00235939">
        <w:t>0</w:t>
      </w:r>
      <w:r w:rsidR="000146BF">
        <w:t>__ .  What is the maximum possible value of total area that could be obtained from a SRS of size 10 from the rectangle population? ____</w:t>
      </w:r>
      <w:r w:rsidR="00B94B78">
        <w:t>17</w:t>
      </w:r>
      <w:r w:rsidR="00235939">
        <w:t>0</w:t>
      </w:r>
      <w:r w:rsidR="000146BF">
        <w:t xml:space="preserve">__  </w:t>
      </w:r>
    </w:p>
    <w:p w:rsidR="000146BF" w:rsidRDefault="000146BF" w:rsidP="000146BF">
      <w:pPr>
        <w:pStyle w:val="BodyTextIndent3"/>
        <w:ind w:left="0"/>
      </w:pPr>
    </w:p>
    <w:p w:rsidR="000146BF" w:rsidRDefault="000146BF" w:rsidP="000146BF">
      <w:pPr>
        <w:pStyle w:val="BodyTextIndent3"/>
        <w:ind w:left="0"/>
        <w:rPr>
          <w:b/>
          <w:u w:val="single"/>
        </w:rPr>
      </w:pPr>
    </w:p>
    <w:p w:rsidR="000146BF" w:rsidRDefault="000146BF" w:rsidP="000146BF">
      <w:pPr>
        <w:pStyle w:val="BodyTextIndent3"/>
        <w:ind w:left="0"/>
      </w:pPr>
      <w:r>
        <w:t>7. Is it possible that estimated total area from a SRS could be worse than your judgment sample estimated total area? Explain.</w:t>
      </w:r>
    </w:p>
    <w:p w:rsidR="000146BF" w:rsidRDefault="000E6615" w:rsidP="000146BF">
      <w:pPr>
        <w:pStyle w:val="BodyTextIndent3"/>
        <w:ind w:left="0"/>
      </w:pPr>
      <w:r>
        <w:t xml:space="preserve"> It is possible that estimated total area from an SRS could be worse than my judgement. The larger the n umber of SRS samples used to estimate the population mean, the better will be the estimate.</w:t>
      </w:r>
    </w:p>
    <w:p w:rsidR="000146BF" w:rsidRDefault="000146BF" w:rsidP="000146BF">
      <w:pPr>
        <w:pStyle w:val="BodyTextIndent3"/>
        <w:ind w:left="0"/>
      </w:pPr>
    </w:p>
    <w:p w:rsidR="000146BF" w:rsidRDefault="000146BF" w:rsidP="000146BF">
      <w:pPr>
        <w:pStyle w:val="BodyTextIndent3"/>
        <w:ind w:left="0"/>
      </w:pPr>
    </w:p>
    <w:p w:rsidR="000146BF" w:rsidRDefault="000146BF" w:rsidP="000146BF">
      <w:pPr>
        <w:pStyle w:val="BodyTextIndent3"/>
        <w:ind w:left="0"/>
      </w:pPr>
      <w:r>
        <w:t>8. Is it likely that estimated total area from a SRS could be worse than your judgment sample estimated total area? Explain.</w:t>
      </w:r>
    </w:p>
    <w:p w:rsidR="000146BF" w:rsidRDefault="000146BF" w:rsidP="000146BF">
      <w:pPr>
        <w:pStyle w:val="BodyTextIndent3"/>
        <w:ind w:left="0"/>
      </w:pPr>
    </w:p>
    <w:p w:rsidR="000E6615" w:rsidRDefault="000E6615" w:rsidP="000146BF">
      <w:pPr>
        <w:pStyle w:val="BodyTextIndent3"/>
        <w:ind w:left="0"/>
      </w:pPr>
      <w:r>
        <w:t>It is not likely that a SRS estimate would be farther from the true mean than my judgement estimate.</w:t>
      </w:r>
      <w:bookmarkStart w:id="0" w:name="_GoBack"/>
      <w:bookmarkEnd w:id="0"/>
    </w:p>
    <w:p w:rsidR="000146BF" w:rsidRDefault="000146BF" w:rsidP="000146BF">
      <w:pPr>
        <w:pStyle w:val="BodyTextIndent3"/>
        <w:ind w:left="0"/>
      </w:pPr>
    </w:p>
    <w:p w:rsidR="000146BF" w:rsidRDefault="000146BF" w:rsidP="000146BF">
      <w:pPr>
        <w:pStyle w:val="BodyTextIndent3"/>
        <w:ind w:left="0"/>
      </w:pPr>
    </w:p>
    <w:p w:rsidR="000146BF" w:rsidRDefault="000146BF" w:rsidP="000146BF">
      <w:pPr>
        <w:pStyle w:val="BodyTextIndent3"/>
        <w:ind w:left="0"/>
      </w:pPr>
    </w:p>
    <w:p w:rsidR="000146BF" w:rsidRDefault="000146BF" w:rsidP="000146BF">
      <w:pPr>
        <w:pStyle w:val="BodyTextIndent3"/>
        <w:ind w:left="0"/>
      </w:pPr>
    </w:p>
    <w:p w:rsidR="00983849" w:rsidRDefault="00983849"/>
    <w:sectPr w:rsidR="009838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BF5A9B"/>
    <w:multiLevelType w:val="hybridMultilevel"/>
    <w:tmpl w:val="FA423A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AE4"/>
    <w:rsid w:val="000146BF"/>
    <w:rsid w:val="000E6615"/>
    <w:rsid w:val="001C136D"/>
    <w:rsid w:val="00235939"/>
    <w:rsid w:val="0025594E"/>
    <w:rsid w:val="0031036C"/>
    <w:rsid w:val="00556AE4"/>
    <w:rsid w:val="00620881"/>
    <w:rsid w:val="006E580A"/>
    <w:rsid w:val="007F3592"/>
    <w:rsid w:val="00952D55"/>
    <w:rsid w:val="00983849"/>
    <w:rsid w:val="00B40470"/>
    <w:rsid w:val="00B94B78"/>
    <w:rsid w:val="00C42C3F"/>
    <w:rsid w:val="00C901A4"/>
    <w:rsid w:val="00DE4D32"/>
    <w:rsid w:val="00E41357"/>
    <w:rsid w:val="00E6625F"/>
    <w:rsid w:val="00F76F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24C85"/>
  <w15:chartTrackingRefBased/>
  <w15:docId w15:val="{CC4A15E8-CA3A-47CA-9B65-26E48ACA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146BF"/>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qFormat/>
    <w:rsid w:val="000146BF"/>
    <w:pPr>
      <w:keepNext/>
      <w:spacing w:after="120" w:line="360" w:lineRule="auto"/>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146BF"/>
    <w:rPr>
      <w:rFonts w:ascii="Times New Roman" w:eastAsia="Times New Roman" w:hAnsi="Times New Roman" w:cs="Times New Roman"/>
      <w:b/>
      <w:bCs/>
      <w:sz w:val="24"/>
      <w:szCs w:val="24"/>
    </w:rPr>
  </w:style>
  <w:style w:type="paragraph" w:styleId="BodyTextIndent3">
    <w:name w:val="Body Text Indent 3"/>
    <w:basedOn w:val="Normal"/>
    <w:link w:val="BodyTextIndent3Char"/>
    <w:semiHidden/>
    <w:rsid w:val="000146BF"/>
    <w:pPr>
      <w:ind w:left="540"/>
    </w:pPr>
  </w:style>
  <w:style w:type="character" w:customStyle="1" w:styleId="BodyTextIndent3Char">
    <w:name w:val="Body Text Indent 3 Char"/>
    <w:basedOn w:val="DefaultParagraphFont"/>
    <w:link w:val="BodyTextIndent3"/>
    <w:semiHidden/>
    <w:rsid w:val="000146BF"/>
    <w:rPr>
      <w:rFonts w:ascii="Times New Roman" w:eastAsia="Times New Roman" w:hAnsi="Times New Roman" w:cs="Times New Roman"/>
      <w:sz w:val="24"/>
      <w:szCs w:val="24"/>
    </w:rPr>
  </w:style>
  <w:style w:type="paragraph" w:styleId="NormalWeb">
    <w:name w:val="Normal (Web)"/>
    <w:basedOn w:val="Normal"/>
    <w:semiHidden/>
    <w:rsid w:val="000146BF"/>
    <w:pPr>
      <w:spacing w:before="100" w:beforeAutospacing="1" w:after="100" w:afterAutospacing="1"/>
    </w:pPr>
    <w:rPr>
      <w:color w:val="000000"/>
    </w:rPr>
  </w:style>
  <w:style w:type="paragraph" w:customStyle="1" w:styleId="secondary">
    <w:name w:val="secondary"/>
    <w:basedOn w:val="Normal"/>
    <w:rsid w:val="000146BF"/>
    <w:pPr>
      <w:spacing w:before="100" w:beforeAutospacing="1" w:after="100" w:afterAutospacing="1"/>
    </w:pPr>
    <w:rPr>
      <w:rFonts w:ascii="Verdana" w:hAnsi="Verdana"/>
      <w:color w:val="000000"/>
      <w:sz w:val="17"/>
      <w:szCs w:val="17"/>
    </w:rPr>
  </w:style>
  <w:style w:type="paragraph" w:styleId="ListParagraph">
    <w:name w:val="List Paragraph"/>
    <w:basedOn w:val="Normal"/>
    <w:uiPriority w:val="34"/>
    <w:qFormat/>
    <w:rsid w:val="000146BF"/>
    <w:pPr>
      <w:ind w:left="720"/>
    </w:pPr>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bbott\Desktop\rectangles%20(1).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bbott\Desktop\rectangles%20(1).xl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Judgement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Sheet1!$B$21</c:f>
              <c:strCache>
                <c:ptCount val="1"/>
                <c:pt idx="0">
                  <c:v>judgment samples</c:v>
                </c:pt>
              </c:strCache>
            </c:strRef>
          </c:tx>
          <c:spPr>
            <a:solidFill>
              <a:schemeClr val="accent1"/>
            </a:solidFill>
            <a:ln>
              <a:noFill/>
            </a:ln>
            <a:effectLst/>
          </c:spPr>
          <c:invertIfNegative val="0"/>
          <c:cat>
            <c:numRef>
              <c:f>Sheet1!$A$22:$A$32</c:f>
              <c:numCache>
                <c:formatCode>General</c:formatCode>
                <c:ptCount val="11"/>
                <c:pt idx="0">
                  <c:v>500</c:v>
                </c:pt>
                <c:pt idx="1">
                  <c:v>600</c:v>
                </c:pt>
                <c:pt idx="2">
                  <c:v>700</c:v>
                </c:pt>
                <c:pt idx="3">
                  <c:v>800</c:v>
                </c:pt>
                <c:pt idx="4">
                  <c:v>900</c:v>
                </c:pt>
                <c:pt idx="5">
                  <c:v>1000</c:v>
                </c:pt>
                <c:pt idx="6">
                  <c:v>1100</c:v>
                </c:pt>
                <c:pt idx="7">
                  <c:v>1200</c:v>
                </c:pt>
                <c:pt idx="8">
                  <c:v>1300</c:v>
                </c:pt>
                <c:pt idx="9">
                  <c:v>1400</c:v>
                </c:pt>
                <c:pt idx="10">
                  <c:v>1500</c:v>
                </c:pt>
              </c:numCache>
            </c:numRef>
          </c:cat>
          <c:val>
            <c:numRef>
              <c:f>Sheet1!$B$22:$B$32</c:f>
              <c:numCache>
                <c:formatCode>General</c:formatCode>
                <c:ptCount val="11"/>
                <c:pt idx="0">
                  <c:v>0</c:v>
                </c:pt>
                <c:pt idx="1">
                  <c:v>0</c:v>
                </c:pt>
                <c:pt idx="2">
                  <c:v>3</c:v>
                </c:pt>
                <c:pt idx="3">
                  <c:v>6</c:v>
                </c:pt>
                <c:pt idx="4">
                  <c:v>3</c:v>
                </c:pt>
                <c:pt idx="5">
                  <c:v>1</c:v>
                </c:pt>
                <c:pt idx="6">
                  <c:v>0</c:v>
                </c:pt>
                <c:pt idx="7">
                  <c:v>1</c:v>
                </c:pt>
                <c:pt idx="8">
                  <c:v>1</c:v>
                </c:pt>
                <c:pt idx="9">
                  <c:v>0</c:v>
                </c:pt>
                <c:pt idx="10">
                  <c:v>0</c:v>
                </c:pt>
              </c:numCache>
            </c:numRef>
          </c:val>
          <c:extLst>
            <c:ext xmlns:c16="http://schemas.microsoft.com/office/drawing/2014/chart" uri="{C3380CC4-5D6E-409C-BE32-E72D297353CC}">
              <c16:uniqueId val="{00000000-C444-403E-8EE4-7A542DF6D1F8}"/>
            </c:ext>
          </c:extLst>
        </c:ser>
        <c:dLbls>
          <c:showLegendKey val="0"/>
          <c:showVal val="0"/>
          <c:showCatName val="0"/>
          <c:showSerName val="0"/>
          <c:showPercent val="0"/>
          <c:showBubbleSize val="0"/>
        </c:dLbls>
        <c:gapWidth val="219"/>
        <c:overlap val="-27"/>
        <c:axId val="498577880"/>
        <c:axId val="498574272"/>
      </c:barChart>
      <c:catAx>
        <c:axId val="49857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4272"/>
        <c:crosses val="autoZero"/>
        <c:auto val="1"/>
        <c:lblAlgn val="ctr"/>
        <c:lblOffset val="100"/>
        <c:noMultiLvlLbl val="0"/>
      </c:catAx>
      <c:valAx>
        <c:axId val="49857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Simple Random Samples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0"/>
          <c:tx>
            <c:strRef>
              <c:f>Sheet1!$C$21</c:f>
              <c:strCache>
                <c:ptCount val="1"/>
                <c:pt idx="0">
                  <c:v>simple random samples</c:v>
                </c:pt>
              </c:strCache>
            </c:strRef>
          </c:tx>
          <c:spPr>
            <a:solidFill>
              <a:schemeClr val="accent2"/>
            </a:solidFill>
            <a:ln>
              <a:noFill/>
            </a:ln>
            <a:effectLst/>
          </c:spPr>
          <c:invertIfNegative val="0"/>
          <c:cat>
            <c:numRef>
              <c:f>Sheet1!$A$22:$A$32</c:f>
              <c:numCache>
                <c:formatCode>General</c:formatCode>
                <c:ptCount val="11"/>
                <c:pt idx="0">
                  <c:v>500</c:v>
                </c:pt>
                <c:pt idx="1">
                  <c:v>600</c:v>
                </c:pt>
                <c:pt idx="2">
                  <c:v>700</c:v>
                </c:pt>
                <c:pt idx="3">
                  <c:v>800</c:v>
                </c:pt>
                <c:pt idx="4">
                  <c:v>900</c:v>
                </c:pt>
                <c:pt idx="5">
                  <c:v>1000</c:v>
                </c:pt>
                <c:pt idx="6">
                  <c:v>1100</c:v>
                </c:pt>
                <c:pt idx="7">
                  <c:v>1200</c:v>
                </c:pt>
                <c:pt idx="8">
                  <c:v>1300</c:v>
                </c:pt>
                <c:pt idx="9">
                  <c:v>1400</c:v>
                </c:pt>
                <c:pt idx="10">
                  <c:v>1500</c:v>
                </c:pt>
              </c:numCache>
            </c:numRef>
          </c:cat>
          <c:val>
            <c:numRef>
              <c:f>Sheet1!$C$22:$C$32</c:f>
              <c:numCache>
                <c:formatCode>General</c:formatCode>
                <c:ptCount val="11"/>
                <c:pt idx="0">
                  <c:v>1</c:v>
                </c:pt>
                <c:pt idx="1">
                  <c:v>3</c:v>
                </c:pt>
                <c:pt idx="2">
                  <c:v>7</c:v>
                </c:pt>
                <c:pt idx="3">
                  <c:v>3</c:v>
                </c:pt>
                <c:pt idx="4">
                  <c:v>1</c:v>
                </c:pt>
                <c:pt idx="5">
                  <c:v>0</c:v>
                </c:pt>
                <c:pt idx="6">
                  <c:v>0</c:v>
                </c:pt>
                <c:pt idx="7">
                  <c:v>0</c:v>
                </c:pt>
                <c:pt idx="8">
                  <c:v>0</c:v>
                </c:pt>
                <c:pt idx="9">
                  <c:v>0</c:v>
                </c:pt>
                <c:pt idx="10">
                  <c:v>0</c:v>
                </c:pt>
              </c:numCache>
            </c:numRef>
          </c:val>
          <c:extLst>
            <c:ext xmlns:c16="http://schemas.microsoft.com/office/drawing/2014/chart" uri="{C3380CC4-5D6E-409C-BE32-E72D297353CC}">
              <c16:uniqueId val="{00000000-EB21-481B-8F21-D3BD98F80F54}"/>
            </c:ext>
          </c:extLst>
        </c:ser>
        <c:dLbls>
          <c:showLegendKey val="0"/>
          <c:showVal val="0"/>
          <c:showCatName val="0"/>
          <c:showSerName val="0"/>
          <c:showPercent val="0"/>
          <c:showBubbleSize val="0"/>
        </c:dLbls>
        <c:gapWidth val="219"/>
        <c:overlap val="-27"/>
        <c:axId val="498577880"/>
        <c:axId val="498574272"/>
      </c:barChart>
      <c:catAx>
        <c:axId val="498577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4272"/>
        <c:crosses val="autoZero"/>
        <c:auto val="1"/>
        <c:lblAlgn val="ctr"/>
        <c:lblOffset val="100"/>
        <c:noMultiLvlLbl val="0"/>
      </c:catAx>
      <c:valAx>
        <c:axId val="498574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577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Fernando</dc:creator>
  <cp:keywords/>
  <dc:description/>
  <cp:lastModifiedBy>Andrew Abbott</cp:lastModifiedBy>
  <cp:revision>7</cp:revision>
  <dcterms:created xsi:type="dcterms:W3CDTF">2017-05-10T00:56:00Z</dcterms:created>
  <dcterms:modified xsi:type="dcterms:W3CDTF">2017-05-12T18:21:00Z</dcterms:modified>
</cp:coreProperties>
</file>