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40D" w:rsidRPr="004E580E" w:rsidRDefault="00633436">
      <w:pPr>
        <w:rPr>
          <w:u w:val="single"/>
        </w:rPr>
      </w:pPr>
      <w:r w:rsidRPr="004E580E">
        <w:rPr>
          <w:u w:val="single"/>
        </w:rPr>
        <w:t>Data: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</w:tblGrid>
      <w:tr w:rsidR="004E580E" w:rsidTr="004E580E">
        <w:tc>
          <w:tcPr>
            <w:tcW w:w="1558" w:type="dxa"/>
          </w:tcPr>
          <w:p w:rsidR="004E580E" w:rsidRDefault="004E580E">
            <w:r>
              <w:t>Weight</w:t>
            </w:r>
          </w:p>
        </w:tc>
        <w:tc>
          <w:tcPr>
            <w:tcW w:w="1558" w:type="dxa"/>
          </w:tcPr>
          <w:p w:rsidR="004E580E" w:rsidRPr="00047BB5" w:rsidRDefault="004E580E">
            <w:pPr>
              <w:rPr>
                <w:highlight w:val="yellow"/>
              </w:rPr>
            </w:pPr>
            <w:r w:rsidRPr="00047BB5">
              <w:rPr>
                <w:highlight w:val="yellow"/>
              </w:rPr>
              <w:t>Average</w:t>
            </w:r>
          </w:p>
        </w:tc>
        <w:tc>
          <w:tcPr>
            <w:tcW w:w="1558" w:type="dxa"/>
          </w:tcPr>
          <w:p w:rsidR="004E580E" w:rsidRDefault="004E580E">
            <w:r>
              <w:t>Overweight</w:t>
            </w:r>
          </w:p>
        </w:tc>
        <w:tc>
          <w:tcPr>
            <w:tcW w:w="1558" w:type="dxa"/>
          </w:tcPr>
          <w:p w:rsidR="004E580E" w:rsidRPr="00047BB5" w:rsidRDefault="004E580E">
            <w:pPr>
              <w:rPr>
                <w:highlight w:val="yellow"/>
              </w:rPr>
            </w:pPr>
            <w:r w:rsidRPr="00047BB5">
              <w:rPr>
                <w:highlight w:val="yellow"/>
              </w:rPr>
              <w:t>Obese</w:t>
            </w:r>
          </w:p>
        </w:tc>
      </w:tr>
      <w:tr w:rsidR="004E580E" w:rsidTr="004E580E">
        <w:tc>
          <w:tcPr>
            <w:tcW w:w="1558" w:type="dxa"/>
          </w:tcPr>
          <w:p w:rsidR="004E580E" w:rsidRDefault="004E580E">
            <w:r>
              <w:t>Mean</w:t>
            </w:r>
          </w:p>
        </w:tc>
        <w:tc>
          <w:tcPr>
            <w:tcW w:w="1558" w:type="dxa"/>
          </w:tcPr>
          <w:p w:rsidR="004E580E" w:rsidRPr="00047BB5" w:rsidRDefault="004E580E">
            <w:pPr>
              <w:rPr>
                <w:highlight w:val="yellow"/>
              </w:rPr>
            </w:pPr>
            <w:r w:rsidRPr="00047BB5">
              <w:rPr>
                <w:highlight w:val="yellow"/>
              </w:rPr>
              <w:t>31.1</w:t>
            </w:r>
          </w:p>
        </w:tc>
        <w:tc>
          <w:tcPr>
            <w:tcW w:w="1558" w:type="dxa"/>
          </w:tcPr>
          <w:p w:rsidR="004E580E" w:rsidRDefault="004E580E">
            <w:r>
              <w:t>25.0</w:t>
            </w:r>
          </w:p>
        </w:tc>
        <w:tc>
          <w:tcPr>
            <w:tcW w:w="1558" w:type="dxa"/>
          </w:tcPr>
          <w:p w:rsidR="004E580E" w:rsidRPr="00047BB5" w:rsidRDefault="004E580E">
            <w:pPr>
              <w:rPr>
                <w:highlight w:val="yellow"/>
              </w:rPr>
            </w:pPr>
            <w:r w:rsidRPr="00047BB5">
              <w:rPr>
                <w:highlight w:val="yellow"/>
              </w:rPr>
              <w:t>22.4</w:t>
            </w:r>
          </w:p>
        </w:tc>
      </w:tr>
      <w:tr w:rsidR="004E580E" w:rsidTr="004E580E">
        <w:tc>
          <w:tcPr>
            <w:tcW w:w="1558" w:type="dxa"/>
          </w:tcPr>
          <w:p w:rsidR="004E580E" w:rsidRDefault="004E580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</w:t>
            </w:r>
          </w:p>
        </w:tc>
        <w:tc>
          <w:tcPr>
            <w:tcW w:w="1558" w:type="dxa"/>
          </w:tcPr>
          <w:p w:rsidR="004E580E" w:rsidRPr="00047BB5" w:rsidRDefault="004E580E">
            <w:pPr>
              <w:rPr>
                <w:highlight w:val="yellow"/>
              </w:rPr>
            </w:pPr>
            <w:r w:rsidRPr="00047BB5">
              <w:rPr>
                <w:highlight w:val="yellow"/>
              </w:rPr>
              <w:t>31</w:t>
            </w:r>
          </w:p>
        </w:tc>
        <w:tc>
          <w:tcPr>
            <w:tcW w:w="1558" w:type="dxa"/>
          </w:tcPr>
          <w:p w:rsidR="004E580E" w:rsidRDefault="004E580E">
            <w:r>
              <w:t>36</w:t>
            </w:r>
          </w:p>
        </w:tc>
        <w:tc>
          <w:tcPr>
            <w:tcW w:w="1558" w:type="dxa"/>
          </w:tcPr>
          <w:p w:rsidR="004E580E" w:rsidRPr="00047BB5" w:rsidRDefault="004E580E">
            <w:pPr>
              <w:rPr>
                <w:highlight w:val="yellow"/>
              </w:rPr>
            </w:pPr>
            <w:r w:rsidRPr="00047BB5">
              <w:rPr>
                <w:highlight w:val="yellow"/>
              </w:rPr>
              <w:t>43</w:t>
            </w:r>
          </w:p>
        </w:tc>
      </w:tr>
    </w:tbl>
    <w:p w:rsidR="004E580E" w:rsidRPr="004E580E" w:rsidRDefault="004E580E">
      <w:pPr>
        <w:rPr>
          <w:rFonts w:eastAsiaTheme="minorEastAsi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E580E" w:rsidTr="004E580E">
        <w:tc>
          <w:tcPr>
            <w:tcW w:w="1870" w:type="dxa"/>
            <w:tcBorders>
              <w:bottom w:val="single" w:sz="4" w:space="0" w:color="auto"/>
              <w:right w:val="single" w:sz="4" w:space="0" w:color="auto"/>
            </w:tcBorders>
          </w:tcPr>
          <w:p w:rsidR="004E580E" w:rsidRDefault="004E580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ANOVA</w:t>
            </w:r>
          </w:p>
        </w:tc>
        <w:tc>
          <w:tcPr>
            <w:tcW w:w="1870" w:type="dxa"/>
            <w:tcBorders>
              <w:left w:val="single" w:sz="4" w:space="0" w:color="auto"/>
              <w:bottom w:val="single" w:sz="4" w:space="0" w:color="auto"/>
            </w:tcBorders>
          </w:tcPr>
          <w:p w:rsidR="004E580E" w:rsidRDefault="004E580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SS</w:t>
            </w:r>
          </w:p>
        </w:tc>
        <w:tc>
          <w:tcPr>
            <w:tcW w:w="1870" w:type="dxa"/>
            <w:tcBorders>
              <w:bottom w:val="single" w:sz="4" w:space="0" w:color="auto"/>
            </w:tcBorders>
          </w:tcPr>
          <w:p w:rsidR="004E580E" w:rsidRDefault="004E580E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Df</w:t>
            </w:r>
            <w:proofErr w:type="spellEnd"/>
          </w:p>
        </w:tc>
        <w:tc>
          <w:tcPr>
            <w:tcW w:w="1870" w:type="dxa"/>
            <w:tcBorders>
              <w:bottom w:val="single" w:sz="4" w:space="0" w:color="auto"/>
            </w:tcBorders>
          </w:tcPr>
          <w:p w:rsidR="004E580E" w:rsidRDefault="004E580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MS</w:t>
            </w:r>
          </w:p>
        </w:tc>
        <w:tc>
          <w:tcPr>
            <w:tcW w:w="1870" w:type="dxa"/>
            <w:tcBorders>
              <w:bottom w:val="single" w:sz="4" w:space="0" w:color="auto"/>
            </w:tcBorders>
          </w:tcPr>
          <w:p w:rsidR="004E580E" w:rsidRDefault="004E580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4E580E" w:rsidTr="004E580E">
        <w:tc>
          <w:tcPr>
            <w:tcW w:w="1870" w:type="dxa"/>
            <w:tcBorders>
              <w:top w:val="single" w:sz="4" w:space="0" w:color="auto"/>
              <w:right w:val="single" w:sz="4" w:space="0" w:color="auto"/>
            </w:tcBorders>
          </w:tcPr>
          <w:p w:rsidR="004E580E" w:rsidRDefault="004E580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Between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</w:tcBorders>
          </w:tcPr>
          <w:p w:rsidR="004E580E" w:rsidRDefault="004E580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1413.55</w:t>
            </w:r>
          </w:p>
        </w:tc>
        <w:tc>
          <w:tcPr>
            <w:tcW w:w="1870" w:type="dxa"/>
            <w:tcBorders>
              <w:top w:val="single" w:sz="4" w:space="0" w:color="auto"/>
            </w:tcBorders>
          </w:tcPr>
          <w:p w:rsidR="004E580E" w:rsidRDefault="004E580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870" w:type="dxa"/>
            <w:tcBorders>
              <w:top w:val="single" w:sz="4" w:space="0" w:color="auto"/>
            </w:tcBorders>
          </w:tcPr>
          <w:p w:rsidR="004E580E" w:rsidRDefault="004E580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706.77</w:t>
            </w:r>
          </w:p>
        </w:tc>
        <w:tc>
          <w:tcPr>
            <w:tcW w:w="1870" w:type="dxa"/>
            <w:tcBorders>
              <w:top w:val="single" w:sz="4" w:space="0" w:color="auto"/>
            </w:tcBorders>
          </w:tcPr>
          <w:p w:rsidR="004E580E" w:rsidRDefault="004E580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8.43</w:t>
            </w:r>
          </w:p>
        </w:tc>
      </w:tr>
      <w:tr w:rsidR="004E580E" w:rsidTr="004E580E">
        <w:tc>
          <w:tcPr>
            <w:tcW w:w="1870" w:type="dxa"/>
            <w:tcBorders>
              <w:right w:val="single" w:sz="4" w:space="0" w:color="auto"/>
            </w:tcBorders>
          </w:tcPr>
          <w:p w:rsidR="004E580E" w:rsidRDefault="004E580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Within</w:t>
            </w:r>
          </w:p>
        </w:tc>
        <w:tc>
          <w:tcPr>
            <w:tcW w:w="1870" w:type="dxa"/>
            <w:tcBorders>
              <w:left w:val="single" w:sz="4" w:space="0" w:color="auto"/>
            </w:tcBorders>
          </w:tcPr>
          <w:p w:rsidR="004E580E" w:rsidRDefault="004E580E" w:rsidP="004E580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8974.53</w:t>
            </w:r>
          </w:p>
        </w:tc>
        <w:tc>
          <w:tcPr>
            <w:tcW w:w="1870" w:type="dxa"/>
          </w:tcPr>
          <w:p w:rsidR="004E580E" w:rsidRDefault="004E580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107</w:t>
            </w:r>
          </w:p>
        </w:tc>
        <w:tc>
          <w:tcPr>
            <w:tcW w:w="1870" w:type="dxa"/>
          </w:tcPr>
          <w:p w:rsidR="004E580E" w:rsidRDefault="004E580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83.87</w:t>
            </w:r>
          </w:p>
        </w:tc>
        <w:tc>
          <w:tcPr>
            <w:tcW w:w="1870" w:type="dxa"/>
          </w:tcPr>
          <w:p w:rsidR="004E580E" w:rsidRDefault="004E580E">
            <w:pPr>
              <w:rPr>
                <w:rFonts w:eastAsiaTheme="minorEastAsia"/>
              </w:rPr>
            </w:pPr>
          </w:p>
        </w:tc>
      </w:tr>
      <w:tr w:rsidR="004E580E" w:rsidTr="004E580E">
        <w:tc>
          <w:tcPr>
            <w:tcW w:w="1870" w:type="dxa"/>
            <w:tcBorders>
              <w:right w:val="single" w:sz="4" w:space="0" w:color="auto"/>
            </w:tcBorders>
          </w:tcPr>
          <w:p w:rsidR="004E580E" w:rsidRDefault="004E580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Total</w:t>
            </w:r>
          </w:p>
        </w:tc>
        <w:tc>
          <w:tcPr>
            <w:tcW w:w="1870" w:type="dxa"/>
            <w:tcBorders>
              <w:left w:val="single" w:sz="4" w:space="0" w:color="auto"/>
            </w:tcBorders>
          </w:tcPr>
          <w:p w:rsidR="004E580E" w:rsidRDefault="004E580E" w:rsidP="004E580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10388.08</w:t>
            </w:r>
          </w:p>
        </w:tc>
        <w:tc>
          <w:tcPr>
            <w:tcW w:w="1870" w:type="dxa"/>
          </w:tcPr>
          <w:p w:rsidR="004E580E" w:rsidRDefault="004E580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109</w:t>
            </w:r>
          </w:p>
        </w:tc>
        <w:tc>
          <w:tcPr>
            <w:tcW w:w="1870" w:type="dxa"/>
          </w:tcPr>
          <w:p w:rsidR="004E580E" w:rsidRDefault="004E580E">
            <w:pPr>
              <w:rPr>
                <w:rFonts w:eastAsiaTheme="minorEastAsia"/>
              </w:rPr>
            </w:pPr>
          </w:p>
        </w:tc>
        <w:tc>
          <w:tcPr>
            <w:tcW w:w="1870" w:type="dxa"/>
          </w:tcPr>
          <w:p w:rsidR="004E580E" w:rsidRDefault="004E580E">
            <w:pPr>
              <w:rPr>
                <w:rFonts w:eastAsiaTheme="minorEastAsia"/>
              </w:rPr>
            </w:pPr>
          </w:p>
        </w:tc>
      </w:tr>
    </w:tbl>
    <w:p w:rsidR="004E580E" w:rsidRPr="004E580E" w:rsidRDefault="004E580E">
      <w:pPr>
        <w:rPr>
          <w:rFonts w:eastAsiaTheme="minorEastAsia"/>
        </w:rPr>
      </w:pPr>
    </w:p>
    <w:p w:rsidR="004E580E" w:rsidRPr="004E580E" w:rsidRDefault="004E580E">
      <w:pPr>
        <w:rPr>
          <w:rFonts w:eastAsiaTheme="minorEastAsia"/>
        </w:rPr>
      </w:pPr>
      <w:r>
        <w:rPr>
          <w:rFonts w:eastAsiaTheme="minorEastAsia"/>
        </w:rPr>
        <w:t>Tukey HSD</w:t>
      </w:r>
    </w:p>
    <w:p w:rsidR="00633436" w:rsidRPr="004E580E" w:rsidRDefault="004E580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α,n-k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</m:den>
              </m:f>
            </m:e>
          </m:rad>
        </m:oMath>
      </m:oMathPara>
    </w:p>
    <w:p w:rsidR="004E580E" w:rsidRDefault="004E580E">
      <w:pPr>
        <w:rPr>
          <w:rFonts w:eastAsiaTheme="minorEastAsia"/>
        </w:rPr>
      </w:pPr>
    </w:p>
    <w:p w:rsidR="004E580E" w:rsidRDefault="004E580E">
      <w:pPr>
        <w:rPr>
          <w:rFonts w:eastAsiaTheme="minorEastAsia"/>
        </w:rPr>
      </w:pPr>
      <w:proofErr w:type="spellStart"/>
      <w:r>
        <w:rPr>
          <w:rFonts w:eastAsiaTheme="minorEastAsia"/>
        </w:rPr>
        <w:t>Dunnett</w:t>
      </w:r>
      <w:proofErr w:type="spellEnd"/>
    </w:p>
    <w:p w:rsidR="004E580E" w:rsidRPr="004E580E" w:rsidRDefault="004E580E" w:rsidP="004E580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α,</m:t>
              </m:r>
              <m:r>
                <w:rPr>
                  <w:rFonts w:ascii="Cambria Math" w:eastAsiaTheme="minorEastAsia" w:hAnsi="Cambria Math"/>
                </w:rPr>
                <m:t>k-1,</m:t>
              </m:r>
              <m:r>
                <w:rPr>
                  <w:rFonts w:ascii="Cambria Math" w:eastAsiaTheme="minorEastAsia" w:hAnsi="Cambria Math"/>
                </w:rPr>
                <m:t>n-k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</m:den>
              </m:f>
            </m:e>
          </m:rad>
        </m:oMath>
      </m:oMathPara>
    </w:p>
    <w:p w:rsidR="004E580E" w:rsidRDefault="00047BB5">
      <w:pPr>
        <w:rPr>
          <w:rFonts w:eastAsiaTheme="minorEastAsia"/>
        </w:rPr>
      </w:pPr>
      <w:r>
        <w:rPr>
          <w:rFonts w:eastAsiaTheme="minorEastAsia"/>
        </w:rPr>
        <w:t>First, calculate the harmonic mean:</w:t>
      </w:r>
    </w:p>
    <w:p w:rsidR="00047BB5" w:rsidRPr="00047BB5" w:rsidRDefault="00047BB5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31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43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=36.03</m:t>
          </m:r>
        </m:oMath>
      </m:oMathPara>
    </w:p>
    <w:p w:rsidR="00047BB5" w:rsidRDefault="00047BB5">
      <w:pPr>
        <w:rPr>
          <w:rFonts w:eastAsiaTheme="minorEastAsia"/>
        </w:rPr>
      </w:pPr>
      <w:r>
        <w:rPr>
          <w:rFonts w:eastAsiaTheme="minorEastAsia"/>
        </w:rPr>
        <w:t xml:space="preserve">The Tukey and </w:t>
      </w:r>
      <w:proofErr w:type="spellStart"/>
      <w:r>
        <w:rPr>
          <w:rFonts w:eastAsiaTheme="minorEastAsia"/>
        </w:rPr>
        <w:t>Dunnett</w:t>
      </w:r>
      <w:proofErr w:type="spellEnd"/>
      <w:r>
        <w:rPr>
          <w:rFonts w:eastAsiaTheme="minorEastAsia"/>
        </w:rPr>
        <w:t xml:space="preserve"> </w:t>
      </w:r>
      <w:r w:rsidR="003105EC">
        <w:rPr>
          <w:rFonts w:eastAsiaTheme="minorEastAsia"/>
        </w:rPr>
        <w:t>values</w:t>
      </w:r>
      <w:r>
        <w:rPr>
          <w:rFonts w:eastAsiaTheme="minorEastAsia"/>
        </w:rPr>
        <w:t xml:space="preserve"> are:</w:t>
      </w:r>
    </w:p>
    <w:p w:rsidR="00047BB5" w:rsidRPr="00047BB5" w:rsidRDefault="00047BB5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.05,107</m:t>
              </m:r>
            </m:sub>
          </m:sSub>
          <m:r>
            <w:rPr>
              <w:rFonts w:ascii="Cambria Math" w:eastAsiaTheme="minorEastAsia" w:hAnsi="Cambria Math"/>
            </w:rPr>
            <m:t>=3.36</m:t>
          </m:r>
        </m:oMath>
      </m:oMathPara>
    </w:p>
    <w:p w:rsidR="00D938B4" w:rsidRPr="00D938B4" w:rsidRDefault="00047BB5" w:rsidP="00D938B4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.05</m:t>
              </m:r>
              <m:r>
                <w:rPr>
                  <w:rFonts w:ascii="Cambria Math" w:eastAsiaTheme="minorEastAsia" w:hAnsi="Cambria Math"/>
                </w:rPr>
                <m:t>,2</m:t>
              </m:r>
              <m:r>
                <w:rPr>
                  <w:rFonts w:ascii="Cambria Math" w:eastAsiaTheme="minorEastAsia" w:hAnsi="Cambria Math"/>
                </w:rPr>
                <m:t>,107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2.2</m:t>
          </m:r>
          <m:r>
            <w:rPr>
              <w:rFonts w:ascii="Cambria Math" w:eastAsiaTheme="minorEastAsia" w:hAnsi="Cambria Math"/>
            </w:rPr>
            <m:t>7</m:t>
          </m:r>
        </m:oMath>
      </m:oMathPara>
    </w:p>
    <w:p w:rsidR="00D938B4" w:rsidRPr="00D938B4" w:rsidRDefault="003105EC" w:rsidP="00D938B4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avg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obe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</m:t>
        </m:r>
      </m:oMath>
      <w:r w:rsidR="00D938B4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 xml:space="preserve">: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avg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obe</m:t>
              </m:r>
            </m:sub>
          </m:sSub>
          <m:r>
            <w:rPr>
              <w:rFonts w:ascii="Cambria Math" w:eastAsiaTheme="minorEastAsia" w:hAnsi="Cambria Math"/>
            </w:rPr>
            <m:t>≠</m:t>
          </m:r>
          <m:r>
            <w:rPr>
              <w:rFonts w:ascii="Cambria Math" w:eastAsiaTheme="minorEastAsia" w:hAnsi="Cambria Math"/>
            </w:rPr>
            <m:t>0</m:t>
          </m:r>
          <m:r>
            <m:rPr>
              <m:sty m:val="p"/>
            </m:rPr>
            <w:rPr>
              <w:rFonts w:ascii="Cambria Math" w:eastAsiaTheme="minorEastAsia" w:hAnsi="Cambria Math"/>
            </w:rPr>
            <w:tab/>
          </m:r>
        </m:oMath>
      </m:oMathPara>
    </w:p>
    <w:p w:rsidR="00D938B4" w:rsidRPr="00D938B4" w:rsidRDefault="00D938B4" w:rsidP="00D938B4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avg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obe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31.1-22.4</m:t>
              </m:r>
            </m:e>
          </m:d>
          <m:r>
            <w:rPr>
              <w:rFonts w:ascii="Cambria Math" w:eastAsiaTheme="minorEastAsia" w:hAnsi="Cambria Math"/>
            </w:rPr>
            <m:t>=8.7</m:t>
          </m:r>
        </m:oMath>
      </m:oMathPara>
    </w:p>
    <w:p w:rsidR="00D938B4" w:rsidRDefault="00D938B4" w:rsidP="00D938B4">
      <w:pPr>
        <w:rPr>
          <w:rFonts w:eastAsiaTheme="minorEastAsia"/>
        </w:rPr>
      </w:pPr>
      <w:r>
        <w:rPr>
          <w:rFonts w:eastAsiaTheme="minorEastAsia"/>
        </w:rPr>
        <w:t>Tukey’s HSD</w:t>
      </w:r>
      <w:r w:rsidR="003105EC">
        <w:rPr>
          <w:rFonts w:eastAsiaTheme="minorEastAsia"/>
        </w:rPr>
        <w:t xml:space="preserve"> test statistic:</w:t>
      </w:r>
    </w:p>
    <w:p w:rsidR="00D938B4" w:rsidRPr="00D938B4" w:rsidRDefault="00D938B4" w:rsidP="00D938B4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3.36</m:t>
              </m:r>
            </m:e>
          </m:d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83.87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36.03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=5.12</m:t>
          </m:r>
        </m:oMath>
      </m:oMathPara>
    </w:p>
    <w:p w:rsidR="00D938B4" w:rsidRDefault="00D938B4" w:rsidP="00D938B4">
      <w:pPr>
        <w:rPr>
          <w:rFonts w:eastAsiaTheme="minorEastAsia"/>
        </w:rPr>
      </w:pPr>
      <w:r>
        <w:rPr>
          <w:rFonts w:eastAsiaTheme="minorEastAsia"/>
        </w:rPr>
        <w:t>8.7 &gt; 5.12</w:t>
      </w:r>
    </w:p>
    <w:p w:rsidR="00D938B4" w:rsidRPr="00D938B4" w:rsidRDefault="00D938B4" w:rsidP="00D938B4">
      <w:pPr>
        <w:rPr>
          <w:rFonts w:eastAsiaTheme="minorEastAsia"/>
        </w:rPr>
      </w:pPr>
      <w:r>
        <w:rPr>
          <w:rFonts w:eastAsiaTheme="minorEastAsia"/>
        </w:rPr>
        <w:t>The difference between the two</w:t>
      </w:r>
      <w:r w:rsidR="003105EC">
        <w:rPr>
          <w:rFonts w:eastAsiaTheme="minorEastAsia"/>
        </w:rPr>
        <w:t xml:space="preserve"> sample</w:t>
      </w:r>
      <w:r>
        <w:rPr>
          <w:rFonts w:eastAsiaTheme="minorEastAsia"/>
        </w:rPr>
        <w:t xml:space="preserve"> means is greater than what would be expected using the Tukey’s Honest Significant Difference if the null hypothesis were true. We reject the null hypothesis that </w:t>
      </w:r>
      <w:r>
        <w:rPr>
          <w:rFonts w:eastAsiaTheme="minorEastAsia"/>
        </w:rPr>
        <w:lastRenderedPageBreak/>
        <w:t>the means are equal. There is a statistically significant difference in the time doctor spent with obese patients and average weight patients.</w:t>
      </w:r>
    </w:p>
    <w:p w:rsidR="00D938B4" w:rsidRDefault="00D938B4" w:rsidP="00D938B4">
      <w:pPr>
        <w:rPr>
          <w:rFonts w:eastAsiaTheme="minorEastAsia"/>
        </w:rPr>
      </w:pPr>
      <w:proofErr w:type="spellStart"/>
      <w:r>
        <w:rPr>
          <w:rFonts w:eastAsiaTheme="minorEastAsia"/>
        </w:rPr>
        <w:t>Dunnett’s</w:t>
      </w:r>
      <w:proofErr w:type="spellEnd"/>
      <w:r w:rsidR="003105EC">
        <w:rPr>
          <w:rFonts w:eastAsiaTheme="minorEastAsia"/>
        </w:rPr>
        <w:t xml:space="preserve"> test statistic:</w:t>
      </w:r>
    </w:p>
    <w:p w:rsidR="00D938B4" w:rsidRPr="00D938B4" w:rsidRDefault="00D938B4" w:rsidP="00D938B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2.27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83.87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36.03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=4.898</m:t>
          </m:r>
        </m:oMath>
      </m:oMathPara>
    </w:p>
    <w:p w:rsidR="00D938B4" w:rsidRPr="00D938B4" w:rsidRDefault="00D938B4" w:rsidP="00D938B4">
      <w:pPr>
        <w:rPr>
          <w:rFonts w:eastAsiaTheme="minorEastAsia"/>
        </w:rPr>
      </w:pPr>
      <w:r>
        <w:rPr>
          <w:rFonts w:eastAsiaTheme="minorEastAsia"/>
        </w:rPr>
        <w:t xml:space="preserve">Again, the </w:t>
      </w:r>
      <w:r w:rsidR="003105EC">
        <w:rPr>
          <w:rFonts w:eastAsiaTheme="minorEastAsia"/>
        </w:rPr>
        <w:t xml:space="preserve">difference between the two sample means is greater than what would be expected using </w:t>
      </w:r>
      <w:proofErr w:type="spellStart"/>
      <w:r w:rsidR="003105EC">
        <w:rPr>
          <w:rFonts w:eastAsiaTheme="minorEastAsia"/>
        </w:rPr>
        <w:t>Dunnett’s</w:t>
      </w:r>
      <w:proofErr w:type="spellEnd"/>
      <w:r w:rsidR="003105EC">
        <w:rPr>
          <w:rFonts w:eastAsiaTheme="minorEastAsia"/>
        </w:rPr>
        <w:t xml:space="preserve"> test were the population means equal. We reject the null hypothesis that the population means are equal.</w:t>
      </w:r>
    </w:p>
    <w:p w:rsidR="00D938B4" w:rsidRDefault="00D938B4" w:rsidP="00D938B4">
      <w:pPr>
        <w:rPr>
          <w:rFonts w:eastAsiaTheme="minorEastAsia"/>
        </w:rPr>
      </w:pPr>
      <w:bookmarkStart w:id="0" w:name="_GoBack"/>
      <w:bookmarkEnd w:id="0"/>
    </w:p>
    <w:sectPr w:rsidR="00D93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436"/>
    <w:rsid w:val="00001078"/>
    <w:rsid w:val="00035F73"/>
    <w:rsid w:val="00047BB5"/>
    <w:rsid w:val="000A74BA"/>
    <w:rsid w:val="001507F8"/>
    <w:rsid w:val="003105EC"/>
    <w:rsid w:val="003746A5"/>
    <w:rsid w:val="00374823"/>
    <w:rsid w:val="004E580E"/>
    <w:rsid w:val="00571E0F"/>
    <w:rsid w:val="00633436"/>
    <w:rsid w:val="00774895"/>
    <w:rsid w:val="007C740D"/>
    <w:rsid w:val="008A1629"/>
    <w:rsid w:val="008E6D34"/>
    <w:rsid w:val="00954744"/>
    <w:rsid w:val="009F4095"/>
    <w:rsid w:val="00B34C0F"/>
    <w:rsid w:val="00B87084"/>
    <w:rsid w:val="00CC24ED"/>
    <w:rsid w:val="00D938B4"/>
    <w:rsid w:val="00F1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A1B67"/>
  <w15:chartTrackingRefBased/>
  <w15:docId w15:val="{CEAA74D2-E2BF-4F8B-82B0-E264FF188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34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334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Abbott</dc:creator>
  <cp:keywords/>
  <dc:description/>
  <cp:lastModifiedBy>Andrew Abbott</cp:lastModifiedBy>
  <cp:revision>2</cp:revision>
  <dcterms:created xsi:type="dcterms:W3CDTF">2016-06-11T18:55:00Z</dcterms:created>
  <dcterms:modified xsi:type="dcterms:W3CDTF">2016-06-11T18:55:00Z</dcterms:modified>
</cp:coreProperties>
</file>