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815" w:rsidRDefault="00C37715" w:rsidP="00C37715">
      <w:pPr>
        <w:jc w:val="center"/>
      </w:pPr>
      <w:r>
        <w:t xml:space="preserve">Weight Lifting and </w:t>
      </w:r>
      <w:r w:rsidR="00C07501">
        <w:t>Immune Response</w:t>
      </w:r>
    </w:p>
    <w:p w:rsidR="00C37715" w:rsidRDefault="00E878D6" w:rsidP="004544D9">
      <w:pPr>
        <w:pStyle w:val="Heading1"/>
        <w:numPr>
          <w:ilvl w:val="0"/>
          <w:numId w:val="1"/>
        </w:numPr>
      </w:pPr>
      <w:r>
        <w:t>Problem</w:t>
      </w:r>
    </w:p>
    <w:p w:rsidR="004544D9" w:rsidRDefault="004544D9" w:rsidP="004544D9">
      <w:r>
        <w:t xml:space="preserve">As a </w:t>
      </w:r>
      <w:r w:rsidR="00C044F8">
        <w:t>part of the mating ritual of the black wheatear, the male puts on an exaggerated display of strength by carrying many stones into caves. These types of displays are often a signal to the females of the fitness and health of the male. Various tests were conducted to determine if there is a relationship between male black wheatear health and the weight of the stones carried. Here we examine the relationship between the weight of stones carried and the male T-cell respon</w:t>
      </w:r>
      <w:r w:rsidR="00C07501">
        <w:t>se. Stronger T-cell responses are expected from healthier black wheatears.</w:t>
      </w:r>
      <w:r w:rsidR="00E878D6">
        <w:t xml:space="preserve"> </w:t>
      </w:r>
    </w:p>
    <w:p w:rsidR="00E878D6" w:rsidRDefault="00E878D6" w:rsidP="00E878D6">
      <w:pPr>
        <w:pStyle w:val="Heading1"/>
        <w:numPr>
          <w:ilvl w:val="0"/>
          <w:numId w:val="1"/>
        </w:numPr>
      </w:pPr>
      <w:r>
        <w:t>Assumptions and Method</w:t>
      </w:r>
    </w:p>
    <w:p w:rsidR="005B72D4" w:rsidRDefault="00E878D6" w:rsidP="00E878D6">
      <w:r>
        <w:t xml:space="preserve">A linear regression line of the T-cell response </w:t>
      </w:r>
      <w:r w:rsidR="005B72D4">
        <w:t xml:space="preserve">in relation to the mean mass of </w:t>
      </w:r>
      <w:r>
        <w:t>stone</w:t>
      </w:r>
      <w:r w:rsidR="005B72D4">
        <w:t xml:space="preserve">s carried, with </w:t>
      </w:r>
    </w:p>
    <w:p w:rsidR="005B72D4" w:rsidRDefault="005B72D4" w:rsidP="00E878D6"/>
    <w:p w:rsidR="009E59B7" w:rsidRDefault="009E59B7" w:rsidP="00E878D6">
      <w:pPr>
        <w:sectPr w:rsidR="009E59B7">
          <w:headerReference w:type="default" r:id="rId8"/>
          <w:pgSz w:w="12240" w:h="15840"/>
          <w:pgMar w:top="1440" w:right="1440" w:bottom="1440" w:left="1440" w:header="720" w:footer="720" w:gutter="0"/>
          <w:cols w:space="720"/>
          <w:docGrid w:linePitch="360"/>
        </w:sectPr>
      </w:pPr>
    </w:p>
    <w:p w:rsidR="005B72D4" w:rsidRDefault="004B72CF" w:rsidP="004B72CF">
      <w:pPr>
        <w:jc w:val="center"/>
        <w:sectPr w:rsidR="005B72D4" w:rsidSect="005B72D4">
          <w:type w:val="continuous"/>
          <w:pgSz w:w="12240" w:h="15840"/>
          <w:pgMar w:top="1440" w:right="1440" w:bottom="1440" w:left="1440" w:header="720" w:footer="720" w:gutter="0"/>
          <w:cols w:space="720"/>
          <w:docGrid w:linePitch="360"/>
        </w:sectPr>
      </w:pPr>
      <w:r>
        <w:rPr>
          <w:noProof/>
          <w:lang w:eastAsia="ja-JP"/>
        </w:rPr>
        <w:drawing>
          <wp:inline distT="0" distB="0" distL="0" distR="0" wp14:anchorId="755032B9" wp14:editId="20B6E67C">
            <wp:extent cx="1983211"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8139" cy="1698615"/>
                    </a:xfrm>
                    <a:prstGeom prst="rect">
                      <a:avLst/>
                    </a:prstGeom>
                  </pic:spPr>
                </pic:pic>
              </a:graphicData>
            </a:graphic>
          </wp:inline>
        </w:drawing>
      </w:r>
      <w:r>
        <w:rPr>
          <w:noProof/>
          <w:lang w:eastAsia="ja-JP"/>
        </w:rPr>
        <w:drawing>
          <wp:inline distT="0" distB="0" distL="0" distR="0" wp14:anchorId="4B4D69E5" wp14:editId="73E4532D">
            <wp:extent cx="1838325" cy="1510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3828" cy="1539880"/>
                    </a:xfrm>
                    <a:prstGeom prst="rect">
                      <a:avLst/>
                    </a:prstGeom>
                  </pic:spPr>
                </pic:pic>
              </a:graphicData>
            </a:graphic>
          </wp:inline>
        </w:drawing>
      </w:r>
    </w:p>
    <w:p w:rsidR="005B72D4" w:rsidRDefault="005B72D4" w:rsidP="00E878D6">
      <w:pPr>
        <w:sectPr w:rsidR="005B72D4" w:rsidSect="005B72D4">
          <w:type w:val="continuous"/>
          <w:pgSz w:w="12240" w:h="15840"/>
          <w:pgMar w:top="1440" w:right="1440" w:bottom="1440" w:left="1440" w:header="720" w:footer="720" w:gutter="0"/>
          <w:cols w:space="720"/>
          <w:docGrid w:linePitch="360"/>
        </w:sectPr>
      </w:pPr>
    </w:p>
    <w:p w:rsidR="005B72D4" w:rsidRDefault="005B72D4" w:rsidP="003A4639">
      <w:r>
        <w:t xml:space="preserve"> 95% confidence limits shown by the blue shaded area and 95% prediction limits shows by the dashed lines, demonstrates the expected positive relationship.  </w:t>
      </w:r>
      <w:r w:rsidR="004B72CF">
        <w:t xml:space="preserve">On the right is the scatterplot with the T-cells on the x-axis. </w:t>
      </w:r>
      <w:r>
        <w:t>The assumptions needed for this model are:</w:t>
      </w:r>
    </w:p>
    <w:p w:rsidR="009E59B7" w:rsidRDefault="009E59B7" w:rsidP="003A4639"/>
    <w:p w:rsidR="005B72D4" w:rsidRDefault="005B72D4" w:rsidP="003A4639">
      <w:pPr>
        <w:pStyle w:val="ListParagraph"/>
        <w:numPr>
          <w:ilvl w:val="0"/>
          <w:numId w:val="2"/>
        </w:numPr>
      </w:pPr>
      <w:r>
        <w:t>For each value of the expla</w:t>
      </w:r>
      <w:r w:rsidR="003A4639">
        <w:t>natory variable</w:t>
      </w:r>
      <w:r>
        <w:t>, mass, the response variable is normally distributed.</w:t>
      </w:r>
    </w:p>
    <w:p w:rsidR="003A4639" w:rsidRDefault="003A4639" w:rsidP="003A4639">
      <w:pPr>
        <w:sectPr w:rsidR="003A4639" w:rsidSect="005B72D4">
          <w:type w:val="continuous"/>
          <w:pgSz w:w="12240" w:h="15840"/>
          <w:pgMar w:top="1440" w:right="1440" w:bottom="1440" w:left="1440" w:header="720" w:footer="720" w:gutter="0"/>
          <w:cols w:space="720"/>
          <w:docGrid w:linePitch="360"/>
        </w:sectPr>
      </w:pPr>
    </w:p>
    <w:p w:rsidR="003A4639" w:rsidRDefault="003A4639" w:rsidP="003A4639">
      <w:pPr>
        <w:pStyle w:val="ListParagraph"/>
        <w:numPr>
          <w:ilvl w:val="0"/>
          <w:numId w:val="2"/>
        </w:numPr>
      </w:pPr>
      <w:r>
        <w:t>The means of those distributions fall on a linear function of mass.</w:t>
      </w:r>
    </w:p>
    <w:p w:rsidR="003A4639" w:rsidRDefault="003A4639" w:rsidP="003A4639">
      <w:pPr>
        <w:pStyle w:val="ListParagraph"/>
        <w:numPr>
          <w:ilvl w:val="0"/>
          <w:numId w:val="2"/>
        </w:numPr>
      </w:pPr>
      <w:r>
        <w:t>Those distributions have equal standard deviations.</w:t>
      </w:r>
    </w:p>
    <w:p w:rsidR="003A4639" w:rsidRDefault="003A4639" w:rsidP="003A4639">
      <w:pPr>
        <w:pStyle w:val="ListParagraph"/>
        <w:numPr>
          <w:ilvl w:val="0"/>
          <w:numId w:val="2"/>
        </w:numPr>
      </w:pPr>
      <w:r>
        <w:t>Independence.</w:t>
      </w:r>
    </w:p>
    <w:p w:rsidR="009E59B7" w:rsidRDefault="009E59B7" w:rsidP="009E59B7">
      <w:pPr>
        <w:ind w:left="360"/>
      </w:pPr>
    </w:p>
    <w:p w:rsidR="003A4639" w:rsidRDefault="003A4639" w:rsidP="003A4639">
      <w:r>
        <w:t xml:space="preserve">To assess these assumptions graphical tools are used. The scatterplot above </w:t>
      </w:r>
      <w:r w:rsidR="004B72CF">
        <w:t xml:space="preserve">and </w:t>
      </w:r>
      <w:proofErr w:type="spellStart"/>
      <w:r w:rsidR="004B72CF">
        <w:t>qq</w:t>
      </w:r>
      <w:proofErr w:type="spellEnd"/>
      <w:r w:rsidR="004B72CF">
        <w:t xml:space="preserve"> plot below do</w:t>
      </w:r>
      <w:r>
        <w:t xml:space="preserve"> not show any problem with a linearity assumption. A scatterplot of the residuals and a histogram of residuals appear to show that the response variable is normally distributed for each value of the explanatory variable and that the spread of the residuals does not appear to vary.</w:t>
      </w:r>
    </w:p>
    <w:p w:rsidR="004B72CF" w:rsidRDefault="004B72CF" w:rsidP="003A4639">
      <w:r>
        <w:rPr>
          <w:noProof/>
          <w:lang w:eastAsia="ja-JP"/>
        </w:rPr>
        <w:lastRenderedPageBreak/>
        <w:drawing>
          <wp:inline distT="0" distB="0" distL="0" distR="0" wp14:anchorId="1FCA1E0F" wp14:editId="593CC547">
            <wp:extent cx="1948564"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348" cy="1822808"/>
                    </a:xfrm>
                    <a:prstGeom prst="rect">
                      <a:avLst/>
                    </a:prstGeom>
                  </pic:spPr>
                </pic:pic>
              </a:graphicData>
            </a:graphic>
          </wp:inline>
        </w:drawing>
      </w:r>
      <w:r>
        <w:rPr>
          <w:noProof/>
          <w:lang w:eastAsia="ja-JP"/>
        </w:rPr>
        <w:drawing>
          <wp:inline distT="0" distB="0" distL="0" distR="0" wp14:anchorId="5167ED14" wp14:editId="0D75DC67">
            <wp:extent cx="1929774"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435" cy="1851356"/>
                    </a:xfrm>
                    <a:prstGeom prst="rect">
                      <a:avLst/>
                    </a:prstGeom>
                  </pic:spPr>
                </pic:pic>
              </a:graphicData>
            </a:graphic>
          </wp:inline>
        </w:drawing>
      </w:r>
      <w:r>
        <w:rPr>
          <w:noProof/>
          <w:lang w:eastAsia="ja-JP"/>
        </w:rPr>
        <w:drawing>
          <wp:inline distT="0" distB="0" distL="0" distR="0" wp14:anchorId="0907528A" wp14:editId="583D1001">
            <wp:extent cx="1968860"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0999" cy="1878464"/>
                    </a:xfrm>
                    <a:prstGeom prst="rect">
                      <a:avLst/>
                    </a:prstGeom>
                  </pic:spPr>
                </pic:pic>
              </a:graphicData>
            </a:graphic>
          </wp:inline>
        </w:drawing>
      </w:r>
    </w:p>
    <w:p w:rsidR="009E59B7" w:rsidRDefault="009E59B7" w:rsidP="003A4639"/>
    <w:p w:rsidR="009E59B7" w:rsidRDefault="009E59B7" w:rsidP="003A4639">
      <w:r>
        <w:t>The assumptions for this model all appear to be met with no transformations necessary.</w:t>
      </w:r>
      <w:bookmarkStart w:id="0" w:name="_GoBack"/>
      <w:bookmarkEnd w:id="0"/>
    </w:p>
    <w:p w:rsidR="009E59B7" w:rsidRDefault="009E59B7" w:rsidP="009E59B7">
      <w:pPr>
        <w:pStyle w:val="Heading1"/>
        <w:numPr>
          <w:ilvl w:val="0"/>
          <w:numId w:val="1"/>
        </w:numPr>
      </w:pPr>
      <w:r>
        <w:t>Results</w:t>
      </w:r>
    </w:p>
    <w:p w:rsidR="00C84A4D" w:rsidRDefault="004B72CF" w:rsidP="009E59B7">
      <w:r>
        <w:t xml:space="preserve">The regression equation </w:t>
      </w:r>
      <w:r w:rsidR="009E59B7">
        <w:t>shown above</w:t>
      </w:r>
      <w:r>
        <w:t xml:space="preserve"> is:</w:t>
      </w:r>
      <w:r w:rsidR="00C84A4D">
        <w:t xml:space="preserve"> </w:t>
      </w:r>
    </w:p>
    <w:p w:rsidR="009E59B7" w:rsidRDefault="009E59B7" w:rsidP="009E59B7"/>
    <w:p w:rsidR="004B72CF" w:rsidRPr="009E59B7" w:rsidRDefault="00C84A4D" w:rsidP="00C84A4D">
      <w:pPr>
        <w:jc w:val="center"/>
        <w:rPr>
          <w:rFonts w:eastAsiaTheme="minorEastAsia"/>
          <w:b/>
        </w:rPr>
      </w:pPr>
      <m:oMathPara>
        <m:oMath>
          <m:r>
            <m:rPr>
              <m:sty m:val="bi"/>
            </m:rPr>
            <w:rPr>
              <w:rFonts w:ascii="Cambria Math" w:hAnsi="Cambria Math"/>
            </w:rPr>
            <m:t>Tcell Response=0.03282</m:t>
          </m:r>
          <m:d>
            <m:dPr>
              <m:ctrlPr>
                <w:rPr>
                  <w:rFonts w:ascii="Cambria Math" w:hAnsi="Cambria Math"/>
                  <w:b/>
                  <w:i/>
                </w:rPr>
              </m:ctrlPr>
            </m:dPr>
            <m:e>
              <m:r>
                <m:rPr>
                  <m:sty m:val="bi"/>
                </m:rPr>
                <w:rPr>
                  <w:rFonts w:ascii="Cambria Math" w:hAnsi="Cambria Math"/>
                </w:rPr>
                <m:t>Mass</m:t>
              </m:r>
            </m:e>
          </m:d>
          <m:r>
            <m:rPr>
              <m:sty m:val="bi"/>
            </m:rPr>
            <w:rPr>
              <w:rFonts w:ascii="Cambria Math" w:hAnsi="Cambria Math"/>
            </w:rPr>
            <m:t>+0.0875</m:t>
          </m:r>
        </m:oMath>
      </m:oMathPara>
    </w:p>
    <w:p w:rsidR="009E59B7" w:rsidRPr="00C84A4D" w:rsidRDefault="009E59B7" w:rsidP="00C84A4D">
      <w:pPr>
        <w:jc w:val="center"/>
        <w:rPr>
          <w:rFonts w:eastAsiaTheme="minorEastAsia"/>
          <w:b/>
        </w:rPr>
      </w:pPr>
    </w:p>
    <w:p w:rsidR="00C84A4D" w:rsidRDefault="00C84A4D" w:rsidP="00C84A4D">
      <w:pPr>
        <w:rPr>
          <w:rFonts w:eastAsiaTheme="minorEastAsia"/>
        </w:rPr>
      </w:pPr>
      <w:r>
        <w:rPr>
          <w:rFonts w:eastAsiaTheme="minorEastAsia"/>
        </w:rPr>
        <w:t>An increase of 1g mean stone mass predicts a 0.3282 increase in T-cell response with 0g mean mass predicting a 0.0875 T-cell response.</w:t>
      </w:r>
    </w:p>
    <w:p w:rsidR="009E59B7" w:rsidRPr="00C84A4D" w:rsidRDefault="009E59B7" w:rsidP="00C84A4D">
      <w:pPr>
        <w:rPr>
          <w:rFonts w:eastAsiaTheme="minorEastAsia"/>
        </w:rPr>
      </w:pPr>
    </w:p>
    <w:tbl>
      <w:tblPr>
        <w:tblW w:w="9351" w:type="dxa"/>
        <w:jc w:val="center"/>
        <w:tblLayout w:type="fixed"/>
        <w:tblCellMar>
          <w:left w:w="0" w:type="dxa"/>
          <w:right w:w="0" w:type="dxa"/>
        </w:tblCellMar>
        <w:tblLook w:val="0000" w:firstRow="0" w:lastRow="0" w:firstColumn="0" w:lastColumn="0" w:noHBand="0" w:noVBand="0"/>
      </w:tblPr>
      <w:tblGrid>
        <w:gridCol w:w="1383"/>
        <w:gridCol w:w="575"/>
        <w:gridCol w:w="1555"/>
        <w:gridCol w:w="1388"/>
        <w:gridCol w:w="1106"/>
        <w:gridCol w:w="1049"/>
        <w:gridCol w:w="1224"/>
        <w:gridCol w:w="1071"/>
      </w:tblGrid>
      <w:tr w:rsidR="00C84A4D" w:rsidTr="00C84A4D">
        <w:tblPrEx>
          <w:tblCellMar>
            <w:top w:w="0" w:type="dxa"/>
            <w:left w:w="0" w:type="dxa"/>
            <w:bottom w:w="0" w:type="dxa"/>
            <w:right w:w="0" w:type="dxa"/>
          </w:tblCellMar>
        </w:tblPrEx>
        <w:trPr>
          <w:cantSplit/>
          <w:trHeight w:val="177"/>
          <w:tblHeader/>
          <w:jc w:val="center"/>
        </w:trPr>
        <w:tc>
          <w:tcPr>
            <w:tcW w:w="9351"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84A4D" w:rsidRDefault="00C84A4D" w:rsidP="00B06605">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C84A4D" w:rsidTr="00C84A4D">
        <w:tblPrEx>
          <w:tblCellMar>
            <w:top w:w="0" w:type="dxa"/>
            <w:left w:w="0" w:type="dxa"/>
            <w:bottom w:w="0" w:type="dxa"/>
            <w:right w:w="0" w:type="dxa"/>
          </w:tblCellMar>
        </w:tblPrEx>
        <w:trPr>
          <w:cantSplit/>
          <w:trHeight w:val="298"/>
          <w:tblHeader/>
          <w:jc w:val="center"/>
        </w:trPr>
        <w:tc>
          <w:tcPr>
            <w:tcW w:w="1383" w:type="dxa"/>
            <w:tcBorders>
              <w:top w:val="nil"/>
              <w:left w:val="single" w:sz="6"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rPr>
                <w:rFonts w:ascii="Times" w:hAnsi="Times" w:cs="Times"/>
                <w:b/>
                <w:bCs/>
                <w:color w:val="000000"/>
              </w:rPr>
            </w:pPr>
            <w:r>
              <w:rPr>
                <w:rFonts w:ascii="Times" w:hAnsi="Times" w:cs="Times"/>
                <w:b/>
                <w:bCs/>
                <w:color w:val="000000"/>
              </w:rPr>
              <w:t>Variable</w:t>
            </w:r>
          </w:p>
        </w:tc>
        <w:tc>
          <w:tcPr>
            <w:tcW w:w="575" w:type="dxa"/>
            <w:tcBorders>
              <w:top w:val="nil"/>
              <w:left w:val="single" w:sz="2"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jc w:val="right"/>
              <w:rPr>
                <w:rFonts w:ascii="Times" w:hAnsi="Times" w:cs="Times"/>
                <w:b/>
                <w:bCs/>
                <w:color w:val="000000"/>
              </w:rPr>
            </w:pPr>
            <w:r>
              <w:rPr>
                <w:rFonts w:ascii="Times" w:hAnsi="Times" w:cs="Times"/>
                <w:b/>
                <w:bCs/>
                <w:color w:val="000000"/>
              </w:rPr>
              <w:t>DF</w:t>
            </w:r>
          </w:p>
        </w:tc>
        <w:tc>
          <w:tcPr>
            <w:tcW w:w="1555" w:type="dxa"/>
            <w:tcBorders>
              <w:top w:val="nil"/>
              <w:left w:val="single" w:sz="2"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388" w:type="dxa"/>
            <w:tcBorders>
              <w:top w:val="nil"/>
              <w:left w:val="single" w:sz="2"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106" w:type="dxa"/>
            <w:tcBorders>
              <w:top w:val="nil"/>
              <w:left w:val="single" w:sz="2"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049" w:type="dxa"/>
            <w:tcBorders>
              <w:top w:val="nil"/>
              <w:left w:val="single" w:sz="2" w:space="0" w:color="000000"/>
              <w:bottom w:val="single" w:sz="2" w:space="0" w:color="000000"/>
              <w:right w:val="nil"/>
            </w:tcBorders>
            <w:shd w:val="clear" w:color="auto" w:fill="BBBBBB"/>
            <w:tcMar>
              <w:left w:w="60" w:type="dxa"/>
              <w:right w:w="60" w:type="dxa"/>
            </w:tcMar>
            <w:vAlign w:val="bottom"/>
          </w:tcPr>
          <w:p w:rsidR="00C84A4D" w:rsidRDefault="00C84A4D" w:rsidP="00B06605">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c>
          <w:tcPr>
            <w:tcW w:w="229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84A4D" w:rsidRDefault="00C84A4D" w:rsidP="00B06605">
            <w:pPr>
              <w:keepNext/>
              <w:adjustRightInd w:val="0"/>
              <w:spacing w:before="60" w:after="60"/>
              <w:jc w:val="center"/>
              <w:rPr>
                <w:rFonts w:ascii="Times" w:hAnsi="Times" w:cs="Times"/>
                <w:b/>
                <w:bCs/>
                <w:color w:val="000000"/>
              </w:rPr>
            </w:pPr>
            <w:r>
              <w:rPr>
                <w:rFonts w:ascii="Times" w:hAnsi="Times" w:cs="Times"/>
                <w:b/>
                <w:bCs/>
                <w:color w:val="000000"/>
              </w:rPr>
              <w:t>95% Confidence Limits</w:t>
            </w:r>
          </w:p>
        </w:tc>
      </w:tr>
      <w:tr w:rsidR="00C84A4D" w:rsidTr="00C84A4D">
        <w:tblPrEx>
          <w:tblCellMar>
            <w:top w:w="0" w:type="dxa"/>
            <w:left w:w="0" w:type="dxa"/>
            <w:bottom w:w="0" w:type="dxa"/>
            <w:right w:w="0" w:type="dxa"/>
          </w:tblCellMar>
        </w:tblPrEx>
        <w:trPr>
          <w:cantSplit/>
          <w:trHeight w:val="298"/>
          <w:jc w:val="center"/>
        </w:trPr>
        <w:tc>
          <w:tcPr>
            <w:tcW w:w="1383" w:type="dxa"/>
            <w:tcBorders>
              <w:top w:val="nil"/>
              <w:left w:val="single" w:sz="6" w:space="0" w:color="000000"/>
              <w:bottom w:val="single" w:sz="2" w:space="0" w:color="000000"/>
              <w:right w:val="nil"/>
            </w:tcBorders>
            <w:shd w:val="clear" w:color="auto" w:fill="BBBBBB"/>
            <w:tcMar>
              <w:left w:w="60" w:type="dxa"/>
              <w:right w:w="60" w:type="dxa"/>
            </w:tcMar>
          </w:tcPr>
          <w:p w:rsidR="00C84A4D" w:rsidRDefault="00C84A4D" w:rsidP="00B06605">
            <w:pPr>
              <w:keepNext/>
              <w:adjustRightInd w:val="0"/>
              <w:spacing w:before="60" w:after="60"/>
              <w:rPr>
                <w:rFonts w:ascii="Times" w:hAnsi="Times" w:cs="Times"/>
                <w:b/>
                <w:bCs/>
                <w:color w:val="000000"/>
              </w:rPr>
            </w:pPr>
            <w:r>
              <w:rPr>
                <w:rFonts w:ascii="Times" w:hAnsi="Times" w:cs="Times"/>
                <w:b/>
                <w:bCs/>
                <w:color w:val="000000"/>
              </w:rPr>
              <w:t>Intercept</w:t>
            </w:r>
          </w:p>
        </w:tc>
        <w:tc>
          <w:tcPr>
            <w:tcW w:w="575"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1</w:t>
            </w:r>
          </w:p>
        </w:tc>
        <w:tc>
          <w:tcPr>
            <w:tcW w:w="1555"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0.08750</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0.07868</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1.11</w:t>
            </w:r>
          </w:p>
        </w:tc>
        <w:tc>
          <w:tcPr>
            <w:tcW w:w="1049"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0.2800</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-0.07717</w:t>
            </w:r>
          </w:p>
        </w:tc>
        <w:tc>
          <w:tcPr>
            <w:tcW w:w="10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0.25217</w:t>
            </w:r>
          </w:p>
        </w:tc>
      </w:tr>
      <w:tr w:rsidR="00C84A4D" w:rsidTr="00C84A4D">
        <w:tblPrEx>
          <w:tblCellMar>
            <w:top w:w="0" w:type="dxa"/>
            <w:left w:w="0" w:type="dxa"/>
            <w:bottom w:w="0" w:type="dxa"/>
            <w:right w:w="0" w:type="dxa"/>
          </w:tblCellMar>
        </w:tblPrEx>
        <w:trPr>
          <w:cantSplit/>
          <w:trHeight w:val="298"/>
          <w:jc w:val="center"/>
        </w:trPr>
        <w:tc>
          <w:tcPr>
            <w:tcW w:w="1383" w:type="dxa"/>
            <w:tcBorders>
              <w:top w:val="nil"/>
              <w:left w:val="single" w:sz="6" w:space="0" w:color="000000"/>
              <w:bottom w:val="single" w:sz="6" w:space="0" w:color="000000"/>
              <w:right w:val="nil"/>
            </w:tcBorders>
            <w:shd w:val="clear" w:color="auto" w:fill="BBBBBB"/>
            <w:tcMar>
              <w:left w:w="60" w:type="dxa"/>
              <w:right w:w="60" w:type="dxa"/>
            </w:tcMar>
          </w:tcPr>
          <w:p w:rsidR="00C84A4D" w:rsidRDefault="00C84A4D" w:rsidP="00B06605">
            <w:pPr>
              <w:keepNext/>
              <w:adjustRightInd w:val="0"/>
              <w:spacing w:before="60" w:after="60"/>
              <w:rPr>
                <w:rFonts w:ascii="Times" w:hAnsi="Times" w:cs="Times"/>
                <w:b/>
                <w:bCs/>
                <w:color w:val="000000"/>
              </w:rPr>
            </w:pPr>
            <w:r>
              <w:rPr>
                <w:rFonts w:ascii="Times" w:hAnsi="Times" w:cs="Times"/>
                <w:b/>
                <w:bCs/>
                <w:color w:val="000000"/>
              </w:rPr>
              <w:t>Mass</w:t>
            </w:r>
          </w:p>
        </w:tc>
        <w:tc>
          <w:tcPr>
            <w:tcW w:w="575"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1</w:t>
            </w:r>
          </w:p>
        </w:tc>
        <w:tc>
          <w:tcPr>
            <w:tcW w:w="1555"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0.03282</w:t>
            </w:r>
          </w:p>
        </w:tc>
        <w:tc>
          <w:tcPr>
            <w:tcW w:w="1388"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0.01064</w:t>
            </w:r>
          </w:p>
        </w:tc>
        <w:tc>
          <w:tcPr>
            <w:tcW w:w="1106"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3.08</w:t>
            </w:r>
          </w:p>
        </w:tc>
        <w:tc>
          <w:tcPr>
            <w:tcW w:w="1049"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0.0061</w:t>
            </w:r>
          </w:p>
        </w:tc>
        <w:tc>
          <w:tcPr>
            <w:tcW w:w="1224" w:type="dxa"/>
            <w:tcBorders>
              <w:top w:val="nil"/>
              <w:left w:val="single" w:sz="2" w:space="0" w:color="000000"/>
              <w:bottom w:val="single" w:sz="6" w:space="0" w:color="000000"/>
              <w:right w:val="nil"/>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0.01055</w:t>
            </w:r>
          </w:p>
        </w:tc>
        <w:tc>
          <w:tcPr>
            <w:tcW w:w="106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84A4D" w:rsidRDefault="00C84A4D" w:rsidP="00B06605">
            <w:pPr>
              <w:keepNext/>
              <w:adjustRightInd w:val="0"/>
              <w:spacing w:before="60" w:after="60"/>
              <w:jc w:val="right"/>
              <w:rPr>
                <w:rFonts w:ascii="Times" w:hAnsi="Times" w:cs="Times"/>
                <w:color w:val="000000"/>
              </w:rPr>
            </w:pPr>
            <w:r>
              <w:rPr>
                <w:rFonts w:ascii="Times" w:hAnsi="Times" w:cs="Times"/>
                <w:color w:val="000000"/>
              </w:rPr>
              <w:t>0.05509</w:t>
            </w:r>
          </w:p>
        </w:tc>
      </w:tr>
    </w:tbl>
    <w:p w:rsidR="009E59B7" w:rsidRDefault="009E59B7" w:rsidP="00C84A4D"/>
    <w:p w:rsidR="00C84A4D" w:rsidRPr="00E878D6" w:rsidRDefault="0032059C" w:rsidP="00C84A4D">
      <w:r>
        <w:t xml:space="preserve">To test these parameters, we will test the hypotheses that they are zero. </w:t>
      </w:r>
      <m:oMath>
        <m:sSub>
          <m:sSubPr>
            <m:ctrlPr>
              <w:rPr>
                <w:rFonts w:ascii="Cambria Math" w:hAnsi="Cambria Math"/>
                <w:i/>
              </w:rPr>
            </m:ctrlPr>
          </m:sSubPr>
          <m:e>
            <m:r>
              <w:rPr>
                <w:rFonts w:ascii="Cambria Math" w:hAnsi="Cambria Math"/>
              </w:rPr>
              <m:t>H</m:t>
            </m:r>
          </m:e>
          <m:sub>
            <m:r>
              <w:rPr>
                <w:rFonts w:ascii="Cambria Math" w:hAnsi="Cambria Math"/>
              </w:rPr>
              <m:t>0β0</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0β</m:t>
            </m:r>
            <m:r>
              <w:rPr>
                <w:rFonts w:ascii="Cambria Math" w:hAnsi="Cambria Math"/>
              </w:rPr>
              <m:t>1</m:t>
            </m:r>
          </m:sub>
        </m:sSub>
        <m:r>
          <w:rPr>
            <w:rFonts w:ascii="Cambria Math" w:hAnsi="Cambria Math"/>
          </w:rPr>
          <m:t>=0</m:t>
        </m:r>
      </m:oMath>
      <w:r>
        <w:rPr>
          <w:rFonts w:eastAsiaTheme="minorEastAsia"/>
        </w:rPr>
        <w:t xml:space="preserve">. The t-statistics and p-values for both the intercept and the slope are given in the table above. The slope is significantly different from 0 with a p-value of 0.0061 so we can reject that </w:t>
      </w:r>
      <m:oMath>
        <m:sSub>
          <m:sSubPr>
            <m:ctrlPr>
              <w:rPr>
                <w:rFonts w:ascii="Cambria Math" w:hAnsi="Cambria Math"/>
                <w:i/>
              </w:rPr>
            </m:ctrlPr>
          </m:sSubPr>
          <m:e>
            <m:r>
              <w:rPr>
                <w:rFonts w:ascii="Cambria Math" w:hAnsi="Cambria Math"/>
              </w:rPr>
              <m:t>H</m:t>
            </m:r>
          </m:e>
          <m:sub>
            <m:r>
              <w:rPr>
                <w:rFonts w:ascii="Cambria Math" w:hAnsi="Cambria Math"/>
              </w:rPr>
              <m:t>0β1</m:t>
            </m:r>
          </m:sub>
        </m:sSub>
        <m:r>
          <w:rPr>
            <w:rFonts w:ascii="Cambria Math" w:hAnsi="Cambria Math"/>
          </w:rPr>
          <m:t>=0</m:t>
        </m:r>
        <m:r>
          <w:rPr>
            <w:rFonts w:ascii="Cambria Math" w:hAnsi="Cambria Math"/>
          </w:rPr>
          <m:t>.</m:t>
        </m:r>
      </m:oMath>
      <w:r>
        <w:rPr>
          <w:rFonts w:eastAsiaTheme="minorEastAsia"/>
        </w:rPr>
        <w:t xml:space="preserve"> The intercept is not significantly different than 0, therefore we cannot reject </w:t>
      </w:r>
      <m:oMath>
        <m:sSub>
          <m:sSubPr>
            <m:ctrlPr>
              <w:rPr>
                <w:rFonts w:ascii="Cambria Math" w:hAnsi="Cambria Math"/>
                <w:i/>
              </w:rPr>
            </m:ctrlPr>
          </m:sSubPr>
          <m:e>
            <m:r>
              <w:rPr>
                <w:rFonts w:ascii="Cambria Math" w:hAnsi="Cambria Math"/>
              </w:rPr>
              <m:t>H</m:t>
            </m:r>
          </m:e>
          <m:sub>
            <m:r>
              <w:rPr>
                <w:rFonts w:ascii="Cambria Math" w:hAnsi="Cambria Math"/>
              </w:rPr>
              <m:t>0β</m:t>
            </m:r>
            <m:r>
              <w:rPr>
                <w:rFonts w:ascii="Cambria Math" w:hAnsi="Cambria Math"/>
              </w:rPr>
              <m:t>0</m:t>
            </m:r>
          </m:sub>
        </m:sSub>
        <m:r>
          <w:rPr>
            <w:rFonts w:ascii="Cambria Math" w:hAnsi="Cambria Math"/>
          </w:rPr>
          <m:t>=0</m:t>
        </m:r>
      </m:oMath>
      <w:r>
        <w:rPr>
          <w:rFonts w:eastAsiaTheme="minorEastAsia"/>
        </w:rPr>
        <w:t>. We can be confident that there is a positive relationship between mean mass and t-cell response but we</w:t>
      </w:r>
      <w:r w:rsidR="009E59B7">
        <w:rPr>
          <w:rFonts w:eastAsiaTheme="minorEastAsia"/>
        </w:rPr>
        <w:t xml:space="preserve"> cannot say definitively that the intercept is not zero.</w:t>
      </w:r>
    </w:p>
    <w:sectPr w:rsidR="00C84A4D" w:rsidRPr="00E878D6" w:rsidSect="005B72D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1B1" w:rsidRDefault="00F631B1" w:rsidP="00C37715">
      <w:r>
        <w:separator/>
      </w:r>
    </w:p>
  </w:endnote>
  <w:endnote w:type="continuationSeparator" w:id="0">
    <w:p w:rsidR="00F631B1" w:rsidRDefault="00F631B1" w:rsidP="00C3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1B1" w:rsidRDefault="00F631B1" w:rsidP="00C37715">
      <w:r>
        <w:separator/>
      </w:r>
    </w:p>
  </w:footnote>
  <w:footnote w:type="continuationSeparator" w:id="0">
    <w:p w:rsidR="00F631B1" w:rsidRDefault="00F631B1" w:rsidP="00C3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715" w:rsidRDefault="00C37715">
    <w:pPr>
      <w:pStyle w:val="Header"/>
    </w:pPr>
    <w:r>
      <w:t>Andrew Abbott</w:t>
    </w:r>
  </w:p>
  <w:p w:rsidR="00C37715" w:rsidRDefault="00C37715">
    <w:pPr>
      <w:pStyle w:val="Header"/>
    </w:pPr>
    <w:r>
      <w:t>MSDS 6371</w:t>
    </w:r>
  </w:p>
  <w:p w:rsidR="00C37715" w:rsidRDefault="00C37715">
    <w:pPr>
      <w:pStyle w:val="Header"/>
    </w:pPr>
    <w:r>
      <w:t>Unit 10 Live Session Homework</w:t>
    </w:r>
  </w:p>
  <w:p w:rsidR="00C37715" w:rsidRDefault="00C37715">
    <w:pPr>
      <w:pStyle w:val="Header"/>
    </w:pPr>
    <w:r>
      <w:t>July 18, 2016</w:t>
    </w:r>
  </w:p>
  <w:p w:rsidR="00C37715" w:rsidRDefault="00C37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B01BF"/>
    <w:multiLevelType w:val="hybridMultilevel"/>
    <w:tmpl w:val="173C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D4F78"/>
    <w:multiLevelType w:val="hybridMultilevel"/>
    <w:tmpl w:val="2942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87356"/>
    <w:multiLevelType w:val="hybridMultilevel"/>
    <w:tmpl w:val="DF381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15"/>
    <w:rsid w:val="0032059C"/>
    <w:rsid w:val="003A4639"/>
    <w:rsid w:val="004544D9"/>
    <w:rsid w:val="004B72CF"/>
    <w:rsid w:val="004F3815"/>
    <w:rsid w:val="005B72D4"/>
    <w:rsid w:val="009E59B7"/>
    <w:rsid w:val="00C044F8"/>
    <w:rsid w:val="00C07501"/>
    <w:rsid w:val="00C37715"/>
    <w:rsid w:val="00C84A4D"/>
    <w:rsid w:val="00E878D6"/>
    <w:rsid w:val="00F6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F802"/>
  <w15:chartTrackingRefBased/>
  <w15:docId w15:val="{8A61BDF2-E04A-4863-894F-2B6782E6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C37715"/>
    <w:pPr>
      <w:tabs>
        <w:tab w:val="center" w:pos="4680"/>
        <w:tab w:val="right" w:pos="9360"/>
      </w:tabs>
    </w:pPr>
  </w:style>
  <w:style w:type="character" w:customStyle="1" w:styleId="HeaderChar">
    <w:name w:val="Header Char"/>
    <w:basedOn w:val="DefaultParagraphFont"/>
    <w:link w:val="Header"/>
    <w:uiPriority w:val="99"/>
    <w:rsid w:val="00C37715"/>
  </w:style>
  <w:style w:type="paragraph" w:styleId="Footer">
    <w:name w:val="footer"/>
    <w:basedOn w:val="Normal"/>
    <w:link w:val="FooterChar"/>
    <w:uiPriority w:val="99"/>
    <w:unhideWhenUsed/>
    <w:rsid w:val="00C37715"/>
    <w:pPr>
      <w:tabs>
        <w:tab w:val="center" w:pos="4680"/>
        <w:tab w:val="right" w:pos="9360"/>
      </w:tabs>
    </w:pPr>
  </w:style>
  <w:style w:type="character" w:customStyle="1" w:styleId="FooterChar">
    <w:name w:val="Footer Char"/>
    <w:basedOn w:val="DefaultParagraphFont"/>
    <w:link w:val="Footer"/>
    <w:uiPriority w:val="99"/>
    <w:rsid w:val="00C37715"/>
  </w:style>
  <w:style w:type="character" w:styleId="PlaceholderText">
    <w:name w:val="Placeholder Text"/>
    <w:basedOn w:val="DefaultParagraphFont"/>
    <w:uiPriority w:val="99"/>
    <w:semiHidden/>
    <w:rsid w:val="004B7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ot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dc:creator>
  <cp:keywords/>
  <dc:description/>
  <cp:lastModifiedBy>Andrew Abbott</cp:lastModifiedBy>
  <cp:revision>2</cp:revision>
  <dcterms:created xsi:type="dcterms:W3CDTF">2016-07-19T01:54:00Z</dcterms:created>
  <dcterms:modified xsi:type="dcterms:W3CDTF">2016-07-19T04:18:00Z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