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240B7" w14:textId="3FF01337" w:rsidR="00E44755" w:rsidRPr="003F2204" w:rsidRDefault="00E44755" w:rsidP="00E44755">
      <w:pPr>
        <w:spacing w:line="240" w:lineRule="auto"/>
        <w:jc w:val="center"/>
        <w:rPr>
          <w:sz w:val="32"/>
          <w:szCs w:val="32"/>
        </w:rPr>
      </w:pPr>
      <w:r>
        <w:rPr>
          <w:sz w:val="32"/>
          <w:szCs w:val="32"/>
        </w:rPr>
        <w:t>MSDS 6372 Project 2</w:t>
      </w:r>
    </w:p>
    <w:p w14:paraId="70B96712" w14:textId="3FF01337" w:rsidR="00E44755" w:rsidRPr="002073E5" w:rsidRDefault="00E44755" w:rsidP="00E44755">
      <w:pPr>
        <w:spacing w:line="240" w:lineRule="auto"/>
        <w:jc w:val="center"/>
        <w:rPr>
          <w:sz w:val="32"/>
          <w:szCs w:val="32"/>
        </w:rPr>
      </w:pPr>
      <w:r>
        <w:rPr>
          <w:sz w:val="32"/>
          <w:szCs w:val="32"/>
        </w:rPr>
        <w:t>Communities</w:t>
      </w:r>
      <w:r w:rsidR="00840360">
        <w:rPr>
          <w:sz w:val="32"/>
          <w:szCs w:val="32"/>
        </w:rPr>
        <w:t xml:space="preserve"> and Crime PCA and PCR</w:t>
      </w:r>
    </w:p>
    <w:p w14:paraId="13B41F65" w14:textId="77777777" w:rsidR="00E44755" w:rsidRPr="002073E5" w:rsidRDefault="00E44755" w:rsidP="00E44755">
      <w:pPr>
        <w:spacing w:line="240" w:lineRule="auto"/>
        <w:jc w:val="center"/>
        <w:rPr>
          <w:sz w:val="32"/>
          <w:szCs w:val="32"/>
        </w:rPr>
      </w:pPr>
    </w:p>
    <w:p w14:paraId="002510EE" w14:textId="77777777" w:rsidR="00E44755" w:rsidRPr="002073E5" w:rsidRDefault="00E44755" w:rsidP="00E44755">
      <w:pPr>
        <w:spacing w:line="240" w:lineRule="auto"/>
        <w:jc w:val="center"/>
        <w:rPr>
          <w:sz w:val="32"/>
          <w:szCs w:val="32"/>
        </w:rPr>
      </w:pPr>
      <w:r w:rsidRPr="002073E5">
        <w:rPr>
          <w:sz w:val="32"/>
          <w:szCs w:val="32"/>
        </w:rPr>
        <w:t>Team members:</w:t>
      </w:r>
    </w:p>
    <w:p w14:paraId="29072685" w14:textId="77777777" w:rsidR="00E44755" w:rsidRPr="002073E5" w:rsidRDefault="00E44755" w:rsidP="00E44755">
      <w:pPr>
        <w:spacing w:line="240" w:lineRule="auto"/>
        <w:jc w:val="center"/>
        <w:rPr>
          <w:sz w:val="32"/>
          <w:szCs w:val="32"/>
        </w:rPr>
      </w:pPr>
      <w:r>
        <w:rPr>
          <w:sz w:val="32"/>
          <w:szCs w:val="32"/>
        </w:rPr>
        <w:t>Brian Kruse, Christopher Boomhower, Andrew Abbott, Johnny Quick</w:t>
      </w:r>
    </w:p>
    <w:p w14:paraId="125D8EAB" w14:textId="77777777" w:rsidR="00E44755" w:rsidRPr="002073E5" w:rsidRDefault="00E44755" w:rsidP="00E44755">
      <w:pPr>
        <w:spacing w:line="240" w:lineRule="auto"/>
        <w:jc w:val="center"/>
        <w:rPr>
          <w:sz w:val="32"/>
          <w:szCs w:val="32"/>
        </w:rPr>
      </w:pPr>
    </w:p>
    <w:p w14:paraId="2A36E986" w14:textId="3C5036DD" w:rsidR="00E44755" w:rsidRPr="002073E5" w:rsidRDefault="00E44755" w:rsidP="00E44755">
      <w:pPr>
        <w:spacing w:line="240" w:lineRule="auto"/>
        <w:jc w:val="center"/>
        <w:rPr>
          <w:sz w:val="32"/>
          <w:szCs w:val="32"/>
        </w:rPr>
      </w:pPr>
      <w:r w:rsidRPr="002073E5">
        <w:rPr>
          <w:sz w:val="32"/>
          <w:szCs w:val="32"/>
        </w:rPr>
        <w:t>Date:</w:t>
      </w:r>
      <w:r>
        <w:rPr>
          <w:sz w:val="32"/>
          <w:szCs w:val="32"/>
        </w:rPr>
        <w:t xml:space="preserve"> </w:t>
      </w:r>
      <w:r>
        <w:rPr>
          <w:sz w:val="32"/>
          <w:szCs w:val="32"/>
        </w:rPr>
        <w:t>11</w:t>
      </w:r>
      <w:r>
        <w:rPr>
          <w:sz w:val="32"/>
          <w:szCs w:val="32"/>
        </w:rPr>
        <w:t>/</w:t>
      </w:r>
      <w:r>
        <w:rPr>
          <w:sz w:val="32"/>
          <w:szCs w:val="32"/>
        </w:rPr>
        <w:t>12</w:t>
      </w:r>
      <w:r>
        <w:rPr>
          <w:sz w:val="32"/>
          <w:szCs w:val="32"/>
        </w:rPr>
        <w:t>/2016</w:t>
      </w:r>
    </w:p>
    <w:p w14:paraId="17A98463" w14:textId="77777777" w:rsidR="00E44755" w:rsidRDefault="00E44755" w:rsidP="00E44755">
      <w:pPr>
        <w:rPr>
          <w:b/>
        </w:rPr>
      </w:pPr>
    </w:p>
    <w:p w14:paraId="5D48811C" w14:textId="77777777" w:rsidR="00E44755" w:rsidRDefault="00E44755" w:rsidP="00E44755">
      <w:pPr>
        <w:rPr>
          <w:u w:val="single"/>
        </w:rPr>
      </w:pPr>
      <w:r>
        <w:rPr>
          <w:u w:val="single"/>
        </w:rPr>
        <w:br w:type="page"/>
      </w:r>
    </w:p>
    <w:p w14:paraId="51F663FB" w14:textId="33B515FA" w:rsidR="000D0BE2" w:rsidRDefault="6406B28D">
      <w:r w:rsidRPr="6406B28D">
        <w:rPr>
          <w:u w:val="single"/>
        </w:rPr>
        <w:t>Introduction:</w:t>
      </w:r>
    </w:p>
    <w:p w14:paraId="27B7F0FD" w14:textId="42229FC3" w:rsidR="0069413A" w:rsidRDefault="6406B28D" w:rsidP="0069413A">
      <w:r>
        <w:t>Throughout time, there has been a desire to determine factors in a community that produce a proclivity toward higher violent crime rates. One of the primary benefits of knowing these factors in advance is that it allows for more efficient allocation of law enforcement resources. Another benefit of knowing these factors is that it can help dictate policy that will hopefully aid in reducing the violent crime rate. As an example, if it is determined that there is a correlation between the violent crime rate and the percentage of houses that are vacant and boarded (or vacant longer than 6 months), then policy can be proposed to alleviate or reduce the number of vacant houses.</w:t>
      </w:r>
    </w:p>
    <w:p w14:paraId="56A4D387" w14:textId="45A0A047" w:rsidR="0069413A" w:rsidRDefault="00B55721" w:rsidP="0069413A">
      <w:r>
        <w:t>For this study, we will utilize data from the 1990 US Census Bureau and the 1995 FBI Crime Report</w:t>
      </w:r>
      <w:r w:rsidR="006063DE">
        <w:t>. T</w:t>
      </w:r>
      <w:r w:rsidR="6406B28D">
        <w:t>here is a vast array of variables available in this dataset to evaluate a community’s makeup. Some of these variables include percentage of various races in the community, percentage of immigrants and their length of time in the community, household size, median income, percentage of people unemployed, percentage of houses vacant and boarded, and many others which will be described shortly.</w:t>
      </w:r>
    </w:p>
    <w:p w14:paraId="376E3DC0" w14:textId="667E2389" w:rsidR="0069413A" w:rsidRDefault="006063DE">
      <w:r>
        <w:t>Specifically, we will</w:t>
      </w:r>
      <w:r w:rsidR="00A32741">
        <w:t xml:space="preserve"> use this dataset to</w:t>
      </w:r>
      <w:r w:rsidR="6406B28D">
        <w:t xml:space="preserve"> </w:t>
      </w:r>
      <w:r w:rsidR="6406B28D">
        <w:t>look at the violent crime rate per population and what factors contributed to the violent crime rate per population. We have two main objectives in our study: 1) to reduce the number of variables to a more manageable number of variables to define a model for multiple linear regression, and 2) to reduce the number of variables to define a model for predicting the violent crime rate using principal component regression (PCR). To accomplish this, we will apply principal component analysis (PCA) to determine which variables may have the most influence on the violent crime rate per population</w:t>
      </w:r>
      <w:r w:rsidR="001727F4">
        <w:t>,</w:t>
      </w:r>
      <w:r w:rsidR="6406B28D">
        <w:t xml:space="preserve"> which will reduce the number of variables utilized for prediction purposes. After determining which variables may have the most influence on the violent crime rate per population, PCR is applied to reduce the number of variables to predict the violent crime rate, and then also to determine the most efficient variables to predict the violent crime rate per population using multiple linear regression. Although </w:t>
      </w:r>
      <w:r w:rsidR="00ED3B67">
        <w:t>in this study</w:t>
      </w:r>
      <w:r w:rsidR="6406B28D">
        <w:t xml:space="preserve"> we will not be performing multiple linear regression using these identified variables, this research will allow our findings to be utilized in a future multiple linear regression model to predict the violent crime rate.</w:t>
      </w:r>
    </w:p>
    <w:p w14:paraId="74666A46" w14:textId="6340CC05" w:rsidR="00031107" w:rsidRDefault="6406B28D">
      <w:r w:rsidRPr="6406B28D">
        <w:rPr>
          <w:u w:val="single"/>
        </w:rPr>
        <w:t>Descriptive Statistics:</w:t>
      </w:r>
      <w:r>
        <w:t xml:space="preserve"> </w:t>
      </w:r>
    </w:p>
    <w:p w14:paraId="7EBE7D6F" w14:textId="6D30729E" w:rsidR="00E66B66" w:rsidRDefault="6406B28D" w:rsidP="00E66B66">
      <w:r>
        <w:t xml:space="preserve">This Communities and Crime dataset is found in the UCI Machine Learning Repository. A related dataset was used in a 2002 paper by Redmond and </w:t>
      </w:r>
      <w:proofErr w:type="spellStart"/>
      <w:r>
        <w:t>Baveja</w:t>
      </w:r>
      <w:proofErr w:type="spellEnd"/>
      <w:r>
        <w:t xml:space="preserve">. This dataset initially includes 128 variables including 122 with possible correlation to crime, 5 that are not predictive and one response variable. Because we are doing a PCA and PCR, to prevent all the variance in the response variable from being explained by the variable with the largest variance, all numeric data has already been standardized into the range 0.00 – 1.00. Standardization preserves attribute distributions and any skewness. </w:t>
      </w:r>
    </w:p>
    <w:p w14:paraId="70229C19" w14:textId="1754AC5A" w:rsidR="00182779" w:rsidRDefault="00182779" w:rsidP="00E66B66">
      <w:r>
        <w:t>Before continuing with the PCA and PCR analysis the data still needs to be cleaned up. As a first step in cleaning the data</w:t>
      </w:r>
      <w:r w:rsidR="00374B61">
        <w:t>,</w:t>
      </w:r>
      <w:r>
        <w:t xml:space="preserve"> we </w:t>
      </w:r>
      <w:r w:rsidR="00BC4623">
        <w:t>remove</w:t>
      </w:r>
      <w:r>
        <w:t xml:space="preserve"> the following categorical data and police data which </w:t>
      </w:r>
      <w:r w:rsidR="00A71DFF">
        <w:t>is</w:t>
      </w:r>
      <w:r>
        <w:t xml:space="preserve"> found to be 84% missing</w:t>
      </w:r>
      <w:r w:rsidR="00374B61">
        <w:t xml:space="preserve"> (See </w:t>
      </w:r>
      <w:r w:rsidR="00374B61">
        <w:fldChar w:fldCharType="begin"/>
      </w:r>
      <w:r w:rsidR="00374B61">
        <w:instrText xml:space="preserve"> REF _Ref466577015 \h </w:instrText>
      </w:r>
      <w:r w:rsidR="00374B61">
        <w:fldChar w:fldCharType="separate"/>
      </w:r>
      <w:r w:rsidR="00CD7139">
        <w:t xml:space="preserve">Table </w:t>
      </w:r>
      <w:r w:rsidR="00CD7139">
        <w:rPr>
          <w:noProof/>
        </w:rPr>
        <w:t>1</w:t>
      </w:r>
      <w:r w:rsidR="00374B61">
        <w:fldChar w:fldCharType="end"/>
      </w:r>
      <w:r w:rsidR="00374B61">
        <w:t>)</w:t>
      </w:r>
      <w:r>
        <w:t>.</w:t>
      </w:r>
      <w:r w:rsidR="006F05D1">
        <w:t xml:space="preserve"> The categorical variables removed </w:t>
      </w:r>
      <w:r w:rsidR="00642145">
        <w:t xml:space="preserve">all </w:t>
      </w:r>
      <w:r w:rsidR="007C0CE2">
        <w:t>relation</w:t>
      </w:r>
      <w:r w:rsidR="00642145">
        <w:t xml:space="preserve"> to </w:t>
      </w:r>
      <w:r w:rsidR="0004581F">
        <w:t>geographic location or name</w:t>
      </w:r>
      <w:r w:rsidR="00892F48">
        <w:t xml:space="preserve"> of </w:t>
      </w:r>
      <w:r w:rsidR="0004581F">
        <w:t>place</w:t>
      </w:r>
      <w:r w:rsidR="0004581F">
        <w:t>.</w:t>
      </w:r>
      <w:r w:rsidR="003933FF">
        <w:t xml:space="preserve"> </w:t>
      </w:r>
      <w:r w:rsidR="0033579F">
        <w:t xml:space="preserve">Our goal is to </w:t>
      </w:r>
      <w:r w:rsidR="00A04E8A">
        <w:t xml:space="preserve">compare </w:t>
      </w:r>
      <w:r w:rsidR="00895E30">
        <w:t xml:space="preserve">general </w:t>
      </w:r>
      <w:r w:rsidR="00A04E8A">
        <w:t xml:space="preserve">communities without regard to </w:t>
      </w:r>
      <w:r w:rsidR="00895E30">
        <w:t xml:space="preserve">specific </w:t>
      </w:r>
      <w:r w:rsidR="00F834CF">
        <w:t>communities.</w:t>
      </w:r>
    </w:p>
    <w:p w14:paraId="63BA0720" w14:textId="1F07EFCF" w:rsidR="00374B61" w:rsidRDefault="00374B61" w:rsidP="00374B61">
      <w:pPr>
        <w:pStyle w:val="Caption"/>
        <w:keepNext/>
        <w:jc w:val="center"/>
      </w:pPr>
      <w:bookmarkStart w:id="0" w:name="_Ref466577015"/>
      <w:r>
        <w:lastRenderedPageBreak/>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1</w:t>
      </w:r>
      <w:r w:rsidR="007110D7" w:rsidRPr="1E23FE13">
        <w:fldChar w:fldCharType="end"/>
      </w:r>
      <w:bookmarkEnd w:id="0"/>
      <w:r>
        <w:t>.  Categorical and Sparse Police Variables</w:t>
      </w:r>
    </w:p>
    <w:p w14:paraId="6CDF029C" w14:textId="56E2068D" w:rsidR="00E66B66" w:rsidRDefault="00182779" w:rsidP="00374B61">
      <w:pPr>
        <w:jc w:val="center"/>
      </w:pPr>
      <w:r w:rsidRPr="007A1770">
        <w:rPr>
          <w:noProof/>
          <w:lang w:eastAsia="ja-JP"/>
        </w:rPr>
        <w:drawing>
          <wp:inline distT="0" distB="0" distL="0" distR="0" wp14:anchorId="6511B5EF" wp14:editId="30C47E96">
            <wp:extent cx="4728519" cy="11326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578" cy="1145092"/>
                    </a:xfrm>
                    <a:prstGeom prst="rect">
                      <a:avLst/>
                    </a:prstGeom>
                  </pic:spPr>
                </pic:pic>
              </a:graphicData>
            </a:graphic>
          </wp:inline>
        </w:drawing>
      </w:r>
    </w:p>
    <w:p w14:paraId="617D0B04" w14:textId="76E8EE34" w:rsidR="0037614E" w:rsidRDefault="00332588" w:rsidP="0037614E">
      <w:bookmarkStart w:id="1" w:name="_Ref466577406"/>
      <w:r>
        <w:t xml:space="preserve">Next we </w:t>
      </w:r>
      <w:r w:rsidR="00182779">
        <w:t>r</w:t>
      </w:r>
      <w:r w:rsidR="00870F72">
        <w:t>emove</w:t>
      </w:r>
      <w:r w:rsidR="00182779">
        <w:t xml:space="preserve"> </w:t>
      </w:r>
      <w:r>
        <w:t>observation</w:t>
      </w:r>
      <w:r w:rsidR="00182779">
        <w:t xml:space="preserve"> </w:t>
      </w:r>
      <w:r>
        <w:t xml:space="preserve">131 </w:t>
      </w:r>
      <w:r w:rsidR="00DA2F11">
        <w:t xml:space="preserve">which </w:t>
      </w:r>
      <w:r w:rsidR="00870F72">
        <w:t>has</w:t>
      </w:r>
      <w:r w:rsidR="00DA2F11">
        <w:t xml:space="preserve"> a </w:t>
      </w:r>
      <w:r>
        <w:t>population value</w:t>
      </w:r>
      <w:r w:rsidR="00182779">
        <w:t xml:space="preserve"> of zero. There </w:t>
      </w:r>
      <w:r w:rsidR="00870F72">
        <w:t>a</w:t>
      </w:r>
      <w:r w:rsidR="00182779">
        <w:t>re eleven variables that we</w:t>
      </w:r>
      <w:r w:rsidR="008D18BC">
        <w:t xml:space="preserve"> determine</w:t>
      </w:r>
      <w:r w:rsidR="00182779">
        <w:t xml:space="preserve"> to be redundant</w:t>
      </w:r>
      <w:r w:rsidR="00EF182A">
        <w:t>.</w:t>
      </w:r>
      <w:r w:rsidR="00F37671">
        <w:t xml:space="preserve"> These </w:t>
      </w:r>
      <w:r w:rsidR="008D18BC">
        <w:t>are</w:t>
      </w:r>
      <w:r w:rsidR="00F37671">
        <w:t xml:space="preserve"> variables that </w:t>
      </w:r>
      <w:r w:rsidR="008D18BC">
        <w:t>represent</w:t>
      </w:r>
      <w:r w:rsidR="00F37671">
        <w:t xml:space="preserve"> the same </w:t>
      </w:r>
      <w:r w:rsidR="007232AF">
        <w:t xml:space="preserve">characteristic in </w:t>
      </w:r>
      <w:r w:rsidR="00F43188">
        <w:t xml:space="preserve">different forms, such as number </w:t>
      </w:r>
      <w:r w:rsidR="00DC4AB4">
        <w:t>of people livi</w:t>
      </w:r>
      <w:r w:rsidR="003A3994">
        <w:t>ng in areas classified as urban (</w:t>
      </w:r>
      <w:proofErr w:type="spellStart"/>
      <w:r w:rsidR="003A3994" w:rsidRPr="6406B28D">
        <w:rPr>
          <w:i/>
          <w:iCs/>
        </w:rPr>
        <w:t>numbUrban</w:t>
      </w:r>
      <w:proofErr w:type="spellEnd"/>
      <w:r w:rsidR="003A3994">
        <w:t>) and percentage of people living in areas classified as urban (</w:t>
      </w:r>
      <w:proofErr w:type="spellStart"/>
      <w:r w:rsidR="003A3994" w:rsidRPr="6406B28D">
        <w:rPr>
          <w:i/>
          <w:iCs/>
        </w:rPr>
        <w:t>Pcturban</w:t>
      </w:r>
      <w:proofErr w:type="spellEnd"/>
      <w:r w:rsidR="003A3994">
        <w:t>)</w:t>
      </w:r>
      <w:r w:rsidR="0075391A">
        <w:t xml:space="preserve"> </w:t>
      </w:r>
      <w:r w:rsidR="00072A5E">
        <w:t xml:space="preserve">(See </w:t>
      </w:r>
      <w:r w:rsidR="00072A5E" w:rsidRPr="00C0370A">
        <w:fldChar w:fldCharType="begin"/>
      </w:r>
      <w:r w:rsidR="00072A5E" w:rsidRPr="00C0370A">
        <w:instrText xml:space="preserve"> REF _Ref466729725 \h </w:instrText>
      </w:r>
      <w:r w:rsidR="00C0370A" w:rsidRPr="00C0370A">
        <w:instrText xml:space="preserve"> \* MERGEFORMAT </w:instrText>
      </w:r>
      <w:r w:rsidR="00072A5E" w:rsidRPr="00C0370A">
        <w:fldChar w:fldCharType="separate"/>
      </w:r>
      <w:r w:rsidR="00CD7139" w:rsidRPr="00CD7139">
        <w:rPr>
          <w:color w:val="44546A" w:themeColor="text2"/>
        </w:rPr>
        <w:t>Table 2</w:t>
      </w:r>
      <w:r w:rsidR="00072A5E" w:rsidRPr="00C0370A">
        <w:fldChar w:fldCharType="end"/>
      </w:r>
      <w:r w:rsidR="00072A5E">
        <w:t>)</w:t>
      </w:r>
      <w:r w:rsidR="003A3994">
        <w:t>.</w:t>
      </w:r>
    </w:p>
    <w:p w14:paraId="4204C255" w14:textId="3DE9DD6F" w:rsidR="0024596F" w:rsidRPr="0037614E" w:rsidRDefault="0024596F" w:rsidP="6406B28D">
      <w:pPr>
        <w:jc w:val="center"/>
        <w:rPr>
          <w:i/>
          <w:iCs/>
          <w:color w:val="44546A" w:themeColor="text2"/>
          <w:sz w:val="18"/>
          <w:szCs w:val="18"/>
        </w:rPr>
      </w:pPr>
      <w:bookmarkStart w:id="2" w:name="_Ref466729725"/>
      <w:r w:rsidRPr="6406B28D">
        <w:rPr>
          <w:i/>
          <w:iCs/>
          <w:color w:val="44546A" w:themeColor="text2"/>
          <w:sz w:val="18"/>
          <w:szCs w:val="18"/>
        </w:rPr>
        <w:t xml:space="preserve">Table </w:t>
      </w:r>
      <w:r w:rsidR="007110D7" w:rsidRPr="6406B28D">
        <w:fldChar w:fldCharType="begin"/>
      </w:r>
      <w:r w:rsidR="007110D7" w:rsidRPr="0037614E">
        <w:rPr>
          <w:i/>
          <w:color w:val="44546A" w:themeColor="text2"/>
          <w:sz w:val="18"/>
          <w:szCs w:val="18"/>
        </w:rPr>
        <w:instrText xml:space="preserve"> SEQ Table \* ARABIC </w:instrText>
      </w:r>
      <w:r w:rsidR="007110D7" w:rsidRPr="6406B28D">
        <w:rPr>
          <w:i/>
          <w:color w:val="44546A" w:themeColor="text2"/>
          <w:sz w:val="18"/>
          <w:szCs w:val="18"/>
        </w:rPr>
        <w:fldChar w:fldCharType="separate"/>
      </w:r>
      <w:r w:rsidR="00CD7139">
        <w:rPr>
          <w:i/>
          <w:noProof/>
          <w:color w:val="44546A" w:themeColor="text2"/>
          <w:sz w:val="18"/>
          <w:szCs w:val="18"/>
        </w:rPr>
        <w:t>2</w:t>
      </w:r>
      <w:r w:rsidR="007110D7" w:rsidRPr="6406B28D">
        <w:fldChar w:fldCharType="end"/>
      </w:r>
      <w:bookmarkEnd w:id="1"/>
      <w:bookmarkEnd w:id="2"/>
      <w:r w:rsidRPr="6406B28D">
        <w:rPr>
          <w:i/>
          <w:iCs/>
          <w:color w:val="44546A" w:themeColor="text2"/>
          <w:sz w:val="18"/>
          <w:szCs w:val="18"/>
        </w:rPr>
        <w:t>. Redundancy Among Variables: Removed vs. Retained Variables</w:t>
      </w:r>
    </w:p>
    <w:p w14:paraId="05CBFF57" w14:textId="6FE82FCD" w:rsidR="00182779" w:rsidRDefault="00182779" w:rsidP="0024596F">
      <w:pPr>
        <w:jc w:val="center"/>
      </w:pPr>
      <w:r w:rsidRPr="00342230">
        <w:rPr>
          <w:noProof/>
          <w:lang w:eastAsia="ja-JP"/>
        </w:rPr>
        <w:drawing>
          <wp:inline distT="0" distB="0" distL="0" distR="0" wp14:anchorId="32A75CCE" wp14:editId="45200A94">
            <wp:extent cx="5453449" cy="85655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442" cy="868174"/>
                    </a:xfrm>
                    <a:prstGeom prst="rect">
                      <a:avLst/>
                    </a:prstGeom>
                  </pic:spPr>
                </pic:pic>
              </a:graphicData>
            </a:graphic>
          </wp:inline>
        </w:drawing>
      </w:r>
    </w:p>
    <w:p w14:paraId="0FF63485" w14:textId="0102DE3A" w:rsidR="00C93FFE" w:rsidRDefault="00E66B66" w:rsidP="00E66B66">
      <w:r>
        <w:t xml:space="preserve">The new, reduced dataset </w:t>
      </w:r>
      <w:r w:rsidR="0035138A">
        <w:t xml:space="preserve">contains </w:t>
      </w:r>
      <w:r w:rsidR="00C93FFE">
        <w:t xml:space="preserve">88 explanatory variables and one response variable </w:t>
      </w:r>
      <w:r w:rsidR="000D20F1">
        <w:t>displayed with their distributions</w:t>
      </w:r>
      <w:r w:rsidR="00C93FFE">
        <w:t xml:space="preserve"> </w:t>
      </w:r>
      <w:r w:rsidR="00391118">
        <w:t>in the Appendix</w:t>
      </w:r>
      <w:r w:rsidR="0024596F">
        <w:t xml:space="preserve">, </w:t>
      </w:r>
      <w:r w:rsidR="0024596F">
        <w:fldChar w:fldCharType="begin"/>
      </w:r>
      <w:r w:rsidR="0024596F">
        <w:instrText xml:space="preserve"> REF _Ref466577481 \h </w:instrText>
      </w:r>
      <w:r w:rsidR="0024596F">
        <w:fldChar w:fldCharType="separate"/>
      </w:r>
      <w:r w:rsidR="00CD7139">
        <w:t xml:space="preserve">Figure </w:t>
      </w:r>
      <w:r w:rsidR="00CD7139">
        <w:rPr>
          <w:noProof/>
        </w:rPr>
        <w:t>4</w:t>
      </w:r>
      <w:r w:rsidR="0024596F">
        <w:fldChar w:fldCharType="end"/>
      </w:r>
      <w:r w:rsidR="00C93FFE">
        <w:t xml:space="preserve">. </w:t>
      </w:r>
      <w:r w:rsidR="000D20F1">
        <w:t>It is clear from their distributions that many of the variables are not normally distributed as assumed in PCA analysis. The non-normality of variables will be addressed in the analysis</w:t>
      </w:r>
      <w:r w:rsidR="0024596F">
        <w:t xml:space="preserve"> section below</w:t>
      </w:r>
      <w:r w:rsidR="000D20F1">
        <w:t>.</w:t>
      </w:r>
    </w:p>
    <w:p w14:paraId="5BAD4A78" w14:textId="65BFCBD4" w:rsidR="00350F65" w:rsidRDefault="6406B28D" w:rsidP="00C93FFE">
      <w:r>
        <w:t xml:space="preserve">Again, the goal of this study is to find out which of the community characteristics are most predictive of the number of violent crimes per 100k population. </w:t>
      </w:r>
    </w:p>
    <w:p w14:paraId="1807F452" w14:textId="4A3FABAE" w:rsidR="00031107" w:rsidRPr="007E4FE4" w:rsidRDefault="6406B28D" w:rsidP="6406B28D">
      <w:pPr>
        <w:rPr>
          <w:u w:val="single"/>
        </w:rPr>
      </w:pPr>
      <w:r w:rsidRPr="6406B28D">
        <w:rPr>
          <w:u w:val="single"/>
        </w:rPr>
        <w:t>Analysis – Part I (Principal Components Analysis):</w:t>
      </w:r>
    </w:p>
    <w:p w14:paraId="0B14059C" w14:textId="2050D5A5" w:rsidR="00813546" w:rsidRDefault="00350F65" w:rsidP="002C36E7">
      <w:r w:rsidRPr="002C36E7">
        <w:t>With the data set described and reasoning provided for manual variable termination complete, it is</w:t>
      </w:r>
      <w:r w:rsidR="0073242C" w:rsidRPr="002C36E7">
        <w:t xml:space="preserve"> almost</w:t>
      </w:r>
      <w:r w:rsidRPr="002C36E7">
        <w:t xml:space="preserve"> time to proceed with the </w:t>
      </w:r>
      <w:r w:rsidR="00D94782" w:rsidRPr="002C36E7">
        <w:t>Principal</w:t>
      </w:r>
      <w:r w:rsidRPr="002C36E7">
        <w:t xml:space="preserve"> </w:t>
      </w:r>
      <w:r w:rsidR="00FD4E1C" w:rsidRPr="002C36E7">
        <w:t>C</w:t>
      </w:r>
      <w:r w:rsidRPr="002C36E7">
        <w:t xml:space="preserve">omponents </w:t>
      </w:r>
      <w:r w:rsidR="00FD4E1C" w:rsidRPr="002C36E7">
        <w:t>A</w:t>
      </w:r>
      <w:r w:rsidRPr="002C36E7">
        <w:t xml:space="preserve">nalysis. </w:t>
      </w:r>
      <w:r w:rsidR="007E4FE4" w:rsidRPr="002C36E7">
        <w:t xml:space="preserve">As </w:t>
      </w:r>
      <w:r w:rsidRPr="002C36E7">
        <w:t>indicated</w:t>
      </w:r>
      <w:r w:rsidR="007E4FE4" w:rsidRPr="002C36E7">
        <w:t xml:space="preserve"> in the prev</w:t>
      </w:r>
      <w:r w:rsidRPr="002C36E7">
        <w:t>ious section</w:t>
      </w:r>
      <w:r w:rsidR="00FD4E1C" w:rsidRPr="002C36E7">
        <w:t>, however</w:t>
      </w:r>
      <w:r w:rsidRPr="002C36E7">
        <w:t xml:space="preserve">, </w:t>
      </w:r>
      <w:r w:rsidR="00FD4E1C" w:rsidRPr="002C36E7">
        <w:t xml:space="preserve">some variables, including the response variable – </w:t>
      </w:r>
      <w:proofErr w:type="spellStart"/>
      <w:r w:rsidR="00FD4E1C" w:rsidRPr="00C35C69">
        <w:rPr>
          <w:i/>
        </w:rPr>
        <w:t>ViolentCrimesPerPop</w:t>
      </w:r>
      <w:proofErr w:type="spellEnd"/>
      <w:r w:rsidR="00FD4E1C" w:rsidRPr="002C36E7">
        <w:t xml:space="preserve">, portray non-normal distributions. Being that one of the primary assumptions of PCA is that the variables are normally distributed, these violations </w:t>
      </w:r>
      <w:r w:rsidR="0073242C" w:rsidRPr="002C36E7">
        <w:t>should</w:t>
      </w:r>
      <w:r w:rsidR="00FD4E1C" w:rsidRPr="002C36E7">
        <w:t xml:space="preserve"> be addressed before continuing with the analysis. With some exploratory effort, it was determined that aside from population data, which was best transformed via</w:t>
      </w:r>
      <w:r w:rsidR="005330AC" w:rsidRPr="002C36E7">
        <w:t xml:space="preserve"> </w:t>
      </w:r>
      <w:r w:rsidR="00FD4E1C" w:rsidRPr="002C36E7">
        <w:t>log transformation, all remaining violations were best transformed via square-root and cube-root transformation</w:t>
      </w:r>
      <w:r w:rsidR="00207CCA" w:rsidRPr="002C36E7">
        <w:t xml:space="preserve"> (See </w:t>
      </w:r>
      <w:r w:rsidR="00625F20" w:rsidRPr="002C36E7">
        <w:t>Appendix,</w:t>
      </w:r>
      <w:r w:rsidR="001A5985">
        <w:t xml:space="preserve"> </w:t>
      </w:r>
      <w:r w:rsidR="00026C34">
        <w:fldChar w:fldCharType="begin"/>
      </w:r>
      <w:r w:rsidR="00026C34">
        <w:instrText xml:space="preserve"> REF _Ref466729651 \h </w:instrText>
      </w:r>
      <w:r w:rsidR="00026C34">
        <w:fldChar w:fldCharType="separate"/>
      </w:r>
      <w:r w:rsidR="00CD7139">
        <w:t xml:space="preserve">Table </w:t>
      </w:r>
      <w:r w:rsidR="00CD7139">
        <w:rPr>
          <w:noProof/>
        </w:rPr>
        <w:t>9</w:t>
      </w:r>
      <w:r w:rsidR="00026C34">
        <w:fldChar w:fldCharType="end"/>
      </w:r>
      <w:r w:rsidR="000B31BC">
        <w:t>)</w:t>
      </w:r>
      <w:r w:rsidR="00FD4E1C">
        <w:t xml:space="preserve">. In </w:t>
      </w:r>
      <w:r w:rsidR="00716B8A">
        <w:t>cases where distributions were left-skewed</w:t>
      </w:r>
      <w:r w:rsidR="00FD4E1C">
        <w:t xml:space="preserve">, such as with </w:t>
      </w:r>
      <w:proofErr w:type="spellStart"/>
      <w:r w:rsidR="00FD4E1C" w:rsidRPr="00C35C69">
        <w:rPr>
          <w:i/>
        </w:rPr>
        <w:t>racePctWhite</w:t>
      </w:r>
      <w:proofErr w:type="spellEnd"/>
      <w:r w:rsidR="00FD4E1C">
        <w:t>, additional pre-conditioning was required before applying cube</w:t>
      </w:r>
      <w:r w:rsidR="00716B8A">
        <w:t>- or square-</w:t>
      </w:r>
      <w:proofErr w:type="spellStart"/>
      <w:r w:rsidR="00716B8A">
        <w:t>root</w:t>
      </w:r>
      <w:proofErr w:type="spellEnd"/>
      <w:r w:rsidR="00FD4E1C">
        <w:t xml:space="preserve"> transformation </w:t>
      </w:r>
      <w:r w:rsidR="00716B8A">
        <w:t>to make the distributions right-skewed</w:t>
      </w:r>
      <w:r w:rsidR="0073242C">
        <w:t>,</w:t>
      </w:r>
      <w:r w:rsidR="00716B8A">
        <w:t xml:space="preserve"> first </w:t>
      </w:r>
      <w:r w:rsidR="00FD4E1C">
        <w:t xml:space="preserve">by subtracting 1 from the data </w:t>
      </w:r>
      <w:r w:rsidR="0073242C">
        <w:t xml:space="preserve">values </w:t>
      </w:r>
      <w:r w:rsidR="00FD4E1C">
        <w:t xml:space="preserve">and </w:t>
      </w:r>
      <w:r w:rsidR="0073242C">
        <w:t>second,</w:t>
      </w:r>
      <w:r w:rsidR="00FD4E1C">
        <w:t xml:space="preserve"> computing absolute value</w:t>
      </w:r>
      <w:r w:rsidR="00716B8A">
        <w:t xml:space="preserve">. The final transformed distributions are displayed in the Appendix, </w:t>
      </w:r>
      <w:r w:rsidR="00716B8A">
        <w:fldChar w:fldCharType="begin"/>
      </w:r>
      <w:r w:rsidR="00716B8A">
        <w:instrText xml:space="preserve"> REF _Ref465888504 \h </w:instrText>
      </w:r>
      <w:r w:rsidR="002C36E7">
        <w:instrText xml:space="preserve"> \* MERGEFORMAT </w:instrText>
      </w:r>
      <w:r w:rsidR="00716B8A">
        <w:fldChar w:fldCharType="separate"/>
      </w:r>
      <w:r w:rsidR="00CD7139">
        <w:t>Figure 5</w:t>
      </w:r>
      <w:r w:rsidR="00716B8A">
        <w:fldChar w:fldCharType="end"/>
      </w:r>
      <w:r w:rsidR="00716B8A">
        <w:t>.</w:t>
      </w:r>
    </w:p>
    <w:p w14:paraId="5D11B951" w14:textId="073420DA" w:rsidR="00716B8A" w:rsidRDefault="6406B28D" w:rsidP="00897C9D">
      <w:r>
        <w:t xml:space="preserve">Since the end-goal of this analysis is to be able to efficiently predict the amount of violent crimes per population for U.S. communities between 1990 and 1995, there is desire to not only generate a working prediction model but to test it as well. For this reason, half the observations within the data set are </w:t>
      </w:r>
      <w:r>
        <w:lastRenderedPageBreak/>
        <w:t>randomly sampled as training data and the remaining half are assigned as test data in preparation for PCR.  This leaves 804 observations for training purposes and 804 observations for validating the model.</w:t>
      </w:r>
    </w:p>
    <w:p w14:paraId="6CE8A8FA" w14:textId="79DE300C" w:rsidR="008F0BE0" w:rsidRDefault="008F0BE0" w:rsidP="00E51493">
      <w:r>
        <w:t>It is finally time to run a full PCA using explanatory variable</w:t>
      </w:r>
      <w:r w:rsidR="0073242C">
        <w:t xml:space="preserve"> training</w:t>
      </w:r>
      <w:r>
        <w:t xml:space="preserve"> data. </w:t>
      </w:r>
      <w:r w:rsidR="004B451A">
        <w:t>Since prior knowledge does not lend itself to judging whether standardization should be avoided,</w:t>
      </w:r>
      <w:r w:rsidR="00D94782">
        <w:t xml:space="preserve"> transforming the data de-</w:t>
      </w:r>
      <w:r w:rsidR="004B451A">
        <w:t xml:space="preserve">standardized some variables, and the 88 explanatory variables are comprised of many different measures, the decision is made to standardize all data. </w:t>
      </w:r>
      <w:r>
        <w:t xml:space="preserve">When </w:t>
      </w:r>
      <w:r w:rsidR="0073242C">
        <w:t>performing the PCA</w:t>
      </w:r>
      <w:r>
        <w:t xml:space="preserve">, </w:t>
      </w:r>
      <w:r w:rsidR="004B451A">
        <w:t xml:space="preserve">each variable’s mean is subtracted from each variable and a correlation matrix is computed. </w:t>
      </w:r>
      <w:r w:rsidR="00813546">
        <w:t xml:space="preserve">A correlation matrix summary is provided in the Appendix, </w:t>
      </w:r>
      <w:r w:rsidR="007D397F" w:rsidRPr="007D397F">
        <w:fldChar w:fldCharType="begin"/>
      </w:r>
      <w:r w:rsidR="007D397F" w:rsidRPr="007D397F">
        <w:instrText xml:space="preserve"> REF _Ref466731905 \h  \* MERGEFORMAT </w:instrText>
      </w:r>
      <w:r w:rsidR="007D397F" w:rsidRPr="007D397F">
        <w:fldChar w:fldCharType="separate"/>
      </w:r>
      <w:r w:rsidR="007D397F" w:rsidRPr="007D397F">
        <w:rPr>
          <w:i/>
          <w:iCs/>
        </w:rPr>
        <w:t>Table</w:t>
      </w:r>
      <w:r w:rsidR="007D397F" w:rsidRPr="007D397F">
        <w:rPr>
          <w:i/>
          <w:iCs/>
          <w:sz w:val="18"/>
          <w:szCs w:val="18"/>
        </w:rPr>
        <w:t xml:space="preserve"> </w:t>
      </w:r>
      <w:r w:rsidR="007D397F" w:rsidRPr="007D397F">
        <w:rPr>
          <w:i/>
          <w:iCs/>
          <w:noProof/>
        </w:rPr>
        <w:t>10</w:t>
      </w:r>
      <w:r w:rsidR="007D397F" w:rsidRPr="007D397F">
        <w:fldChar w:fldCharType="end"/>
      </w:r>
      <w:r w:rsidR="00813546" w:rsidRPr="007D397F">
        <w:t>,</w:t>
      </w:r>
      <w:r w:rsidR="00813546">
        <w:t xml:space="preserve"> indicating moderate correlation among most of the community variables. </w:t>
      </w:r>
      <w:r w:rsidR="001C743E">
        <w:t>Such relationships among our community attributes</w:t>
      </w:r>
      <w:r w:rsidR="00813546">
        <w:t xml:space="preserve"> further </w:t>
      </w:r>
      <w:r w:rsidR="001C743E">
        <w:t>solidify</w:t>
      </w:r>
      <w:r w:rsidR="00813546">
        <w:t xml:space="preserve"> Principal Components Analysis </w:t>
      </w:r>
      <w:r w:rsidR="001C743E">
        <w:t>as being a suitable approach to analyzing community data</w:t>
      </w:r>
      <w:r w:rsidR="00813546">
        <w:t xml:space="preserve">. </w:t>
      </w:r>
      <w:r w:rsidR="001C743E">
        <w:t>Therefore, l</w:t>
      </w:r>
      <w:r w:rsidR="004B451A">
        <w:t xml:space="preserve">inear combinations of the data </w:t>
      </w:r>
      <w:r w:rsidR="00D94782">
        <w:t>are created</w:t>
      </w:r>
      <w:r w:rsidR="001C743E">
        <w:t xml:space="preserve"> next</w:t>
      </w:r>
      <w:r w:rsidR="00D94782">
        <w:t>, the number of which is equivalent to the number of variables present in the data set</w:t>
      </w:r>
      <w:r w:rsidR="007E5FFA">
        <w:t xml:space="preserve"> (88 in this case)</w:t>
      </w:r>
      <w:r w:rsidR="00D94782">
        <w:t xml:space="preserve">. Each of these linear combinations makes up a component and </w:t>
      </w:r>
      <w:r w:rsidR="004B451A">
        <w:t>comprise</w:t>
      </w:r>
      <w:r w:rsidR="00D94782">
        <w:t>s an eigenvector. These eigenvectors are ordered by largest eigenvalues, representing the extent of variability explained by each vector. The vectors with largest eigenvalues make up the principal components of the analysis.</w:t>
      </w:r>
    </w:p>
    <w:p w14:paraId="645AA0E8" w14:textId="3C3D294D" w:rsidR="00AC4A62" w:rsidRDefault="00AC4A62">
      <w:bookmarkStart w:id="3" w:name="_GoBack"/>
      <w:bookmarkEnd w:id="3"/>
      <w:r>
        <w:t>The full PCA</w:t>
      </w:r>
      <w:r w:rsidR="009331B3">
        <w:t xml:space="preserve"> produces eigenvectors with the eigenvalues and variance proportions displayed in </w:t>
      </w:r>
      <w:r w:rsidR="009331B3">
        <w:fldChar w:fldCharType="begin"/>
      </w:r>
      <w:r w:rsidR="009331B3">
        <w:instrText xml:space="preserve"> REF _Ref465893877 \h </w:instrText>
      </w:r>
      <w:r w:rsidR="00CF03C7">
        <w:instrText xml:space="preserve"> \* MERGEFORMAT </w:instrText>
      </w:r>
      <w:r w:rsidR="009331B3">
        <w:fldChar w:fldCharType="separate"/>
      </w:r>
      <w:r w:rsidR="00CD7139">
        <w:t>Table 8</w:t>
      </w:r>
      <w:r w:rsidR="009331B3">
        <w:fldChar w:fldCharType="end"/>
      </w:r>
      <w:r w:rsidR="008654DE">
        <w:t xml:space="preserve"> within the Appendix</w:t>
      </w:r>
      <w:r w:rsidR="009331B3">
        <w:t xml:space="preserve">. This output indicates that, for example, the first principal component accounts for the most variance in the data, explaining 26.21% of the variance. </w:t>
      </w:r>
      <w:proofErr w:type="gramStart"/>
      <w:r w:rsidR="009331B3">
        <w:t>According to</w:t>
      </w:r>
      <w:proofErr w:type="gramEnd"/>
      <w:r w:rsidR="009331B3">
        <w:t xml:space="preserve"> the cumulative variance, </w:t>
      </w:r>
      <w:r w:rsidR="00030BE8">
        <w:t xml:space="preserve">the number of variables may be reduced from 88 to 10 if the desire is to explain 80% of variance. Though this table is helpful, the use of Scree and Cumulative Proportion of Variance plots will help more effectively select the appropriate number of principal components </w:t>
      </w:r>
    </w:p>
    <w:p w14:paraId="3064A8E1" w14:textId="4BCD067D" w:rsidR="00AA38EB" w:rsidRDefault="00C31695">
      <w:r>
        <w:t xml:space="preserve">As mentioned above, 80% of the variance in this data set is explained by 10 principal components. However, 80% explained may not necessarily be an appropriate target depending on the rate </w:t>
      </w:r>
      <w:r w:rsidR="00CE6464">
        <w:t>at which explained variance decreases in significance from one principal component to the next. B</w:t>
      </w:r>
      <w:r w:rsidR="00B76476">
        <w:t xml:space="preserve">y plotting the Scree </w:t>
      </w:r>
      <w:r w:rsidR="00CE6464">
        <w:t xml:space="preserve">Plot in </w:t>
      </w:r>
      <w:r w:rsidR="00CE6464">
        <w:fldChar w:fldCharType="begin"/>
      </w:r>
      <w:r w:rsidR="00CE6464">
        <w:instrText xml:space="preserve"> REF _Ref466125434 \h </w:instrText>
      </w:r>
      <w:r w:rsidR="00CF03C7">
        <w:instrText xml:space="preserve"> \* MERGEFORMAT </w:instrText>
      </w:r>
      <w:r w:rsidR="00CE6464">
        <w:fldChar w:fldCharType="separate"/>
      </w:r>
      <w:r w:rsidR="00CD7139">
        <w:t>Figure 1</w:t>
      </w:r>
      <w:r w:rsidR="00CE6464">
        <w:fldChar w:fldCharType="end"/>
      </w:r>
      <w:r w:rsidR="00CE6464">
        <w:t>, it is easier to judge where this rate of decreasing explained variance occurs (Only first 20 principal components shown in</w:t>
      </w:r>
      <w:r w:rsidR="002B671D">
        <w:t xml:space="preserve"> </w:t>
      </w:r>
      <w:r w:rsidR="002B671D">
        <w:fldChar w:fldCharType="begin"/>
      </w:r>
      <w:r w:rsidR="002B671D">
        <w:instrText xml:space="preserve"> REF _Ref466125434 \h </w:instrText>
      </w:r>
      <w:r w:rsidR="002B671D">
        <w:instrText xml:space="preserve"> \* MERGEFORMAT </w:instrText>
      </w:r>
      <w:r w:rsidR="002B671D">
        <w:fldChar w:fldCharType="separate"/>
      </w:r>
      <w:r w:rsidR="00CD7139">
        <w:t>Figure 1</w:t>
      </w:r>
      <w:r w:rsidR="002B671D">
        <w:fldChar w:fldCharType="end"/>
      </w:r>
      <w:r w:rsidR="00CE6464">
        <w:t xml:space="preserve"> to enhance granularity during analysis). Note the rate of change in explained variance among the first seven principal components – the change is rather steep through the seventh component. After the 1% drop between component seven and component eight, the rate of decreasing explained variance begins to somewhat flatten out, reducing to a 0.3% change or less. By now referring to the Cumulative Variance Plot in </w:t>
      </w:r>
      <w:r w:rsidR="002B671D">
        <w:fldChar w:fldCharType="begin"/>
      </w:r>
      <w:r w:rsidR="002B671D">
        <w:instrText xml:space="preserve"> REF _Ref466125434 \h </w:instrText>
      </w:r>
      <w:r w:rsidR="002B671D">
        <w:instrText xml:space="preserve"> \* MERGEFORMAT </w:instrText>
      </w:r>
      <w:r w:rsidR="002B671D">
        <w:fldChar w:fldCharType="separate"/>
      </w:r>
      <w:r w:rsidR="00CD7139">
        <w:t>Figure 1</w:t>
      </w:r>
      <w:r w:rsidR="002B671D">
        <w:fldChar w:fldCharType="end"/>
      </w:r>
      <w:r w:rsidR="002B671D">
        <w:t xml:space="preserve"> </w:t>
      </w:r>
      <w:r w:rsidR="00CE6464">
        <w:t xml:space="preserve">(once again, only first 20 principle components plotted), </w:t>
      </w:r>
      <w:r w:rsidR="00561193">
        <w:t>it may be seen that the cumulative variance arguably begins to plateau around the seventh principal component and that the first seven components together explain about 74% of variance in the data set. For this reason, seven principal components may be selected as being the most appropriate given the variables among these data.</w:t>
      </w:r>
    </w:p>
    <w:p w14:paraId="0AF0DA55" w14:textId="1B1701E3" w:rsidR="00B76476" w:rsidRDefault="001654BD" w:rsidP="00B76476">
      <w:pPr>
        <w:keepNext/>
        <w:jc w:val="center"/>
      </w:pPr>
      <w:r w:rsidRPr="001654BD">
        <w:rPr>
          <w:noProof/>
          <w:lang w:eastAsia="ja-JP"/>
        </w:rPr>
        <w:lastRenderedPageBreak/>
        <w:drawing>
          <wp:inline distT="0" distB="0" distL="0" distR="0" wp14:anchorId="79D135FE" wp14:editId="4FC79897">
            <wp:extent cx="3089609" cy="211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502" cy="2136799"/>
                    </a:xfrm>
                    <a:prstGeom prst="rect">
                      <a:avLst/>
                    </a:prstGeom>
                  </pic:spPr>
                </pic:pic>
              </a:graphicData>
            </a:graphic>
          </wp:inline>
        </w:drawing>
      </w:r>
      <w:r w:rsidR="00F2280E">
        <w:rPr>
          <w:noProof/>
        </w:rPr>
        <w:t xml:space="preserve">       </w:t>
      </w:r>
      <w:r w:rsidR="00F2280E">
        <w:rPr>
          <w:noProof/>
          <w:lang w:eastAsia="ja-JP"/>
        </w:rPr>
        <w:drawing>
          <wp:inline distT="0" distB="0" distL="0" distR="0" wp14:anchorId="565ED8BE" wp14:editId="539AAAD7">
            <wp:extent cx="2519680" cy="217090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417" cy="2195662"/>
                    </a:xfrm>
                    <a:prstGeom prst="rect">
                      <a:avLst/>
                    </a:prstGeom>
                    <a:noFill/>
                    <a:ln>
                      <a:noFill/>
                    </a:ln>
                  </pic:spPr>
                </pic:pic>
              </a:graphicData>
            </a:graphic>
          </wp:inline>
        </w:drawing>
      </w:r>
    </w:p>
    <w:p w14:paraId="203E76E5" w14:textId="162F989D" w:rsidR="00B76476" w:rsidRDefault="00B76476" w:rsidP="00F2280E">
      <w:pPr>
        <w:pStyle w:val="Caption"/>
        <w:jc w:val="center"/>
      </w:pPr>
      <w:bookmarkStart w:id="4" w:name="_Ref466125434"/>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1</w:t>
      </w:r>
      <w:r w:rsidR="007110D7" w:rsidRPr="1E23FE13">
        <w:fldChar w:fldCharType="end"/>
      </w:r>
      <w:bookmarkEnd w:id="4"/>
      <w:r>
        <w:t xml:space="preserve">.  Scree </w:t>
      </w:r>
      <w:r w:rsidR="00F2280E">
        <w:t xml:space="preserve">Plot </w:t>
      </w:r>
      <w:r w:rsidR="00CE6464">
        <w:t xml:space="preserve">(left) </w:t>
      </w:r>
      <w:r w:rsidR="00F2280E">
        <w:t>and Cumulative Variance Plot</w:t>
      </w:r>
      <w:r w:rsidR="00CE6464">
        <w:t xml:space="preserve"> (right)</w:t>
      </w:r>
      <w:r w:rsidR="001654BD">
        <w:t xml:space="preserve"> for First 20 PCs</w:t>
      </w:r>
    </w:p>
    <w:p w14:paraId="28CC4326" w14:textId="6A2B0D80" w:rsidR="00777C50" w:rsidRDefault="00070181" w:rsidP="6406B28D">
      <w:pPr>
        <w:rPr>
          <w:noProof/>
        </w:rPr>
      </w:pPr>
      <w:r>
        <w:t>Each principal component within the</w:t>
      </w:r>
      <w:r w:rsidR="00777C50">
        <w:t xml:space="preserve"> full PCA </w:t>
      </w:r>
      <w:r>
        <w:t>is comprised of variable</w:t>
      </w:r>
      <w:r w:rsidR="00777C50">
        <w:t xml:space="preserve"> loadings</w:t>
      </w:r>
      <w:r>
        <w:t xml:space="preserve"> (</w:t>
      </w:r>
      <w:proofErr w:type="gramStart"/>
      <w:r>
        <w:t>similar to</w:t>
      </w:r>
      <w:proofErr w:type="gramEnd"/>
      <w:r>
        <w:t xml:space="preserve"> variable coefficients)</w:t>
      </w:r>
      <w:r w:rsidR="00777C50">
        <w:t xml:space="preserve"> </w:t>
      </w:r>
      <w:r>
        <w:t xml:space="preserve">for all 88 variables used in the analysis. These loadings provide insight into underlying factors among the variables and describe those demonstrating the most variance. Loadings for the </w:t>
      </w:r>
      <w:r w:rsidR="00E03EA3">
        <w:t xml:space="preserve">first </w:t>
      </w:r>
      <w:r w:rsidR="004763E4">
        <w:t>7</w:t>
      </w:r>
      <w:r w:rsidR="00E03EA3">
        <w:t xml:space="preserve"> principal components</w:t>
      </w:r>
      <w:r>
        <w:t xml:space="preserve"> will be interpreted in detail in the </w:t>
      </w:r>
      <w:r w:rsidR="009757DB" w:rsidRPr="009757DB">
        <w:rPr>
          <w:i/>
        </w:rPr>
        <w:t>Loadings</w:t>
      </w:r>
      <w:r w:rsidR="009757DB">
        <w:t xml:space="preserve"> </w:t>
      </w:r>
      <w:r w:rsidRPr="1E23FE13">
        <w:rPr>
          <w:i/>
          <w:iCs/>
        </w:rPr>
        <w:t>Interpretation</w:t>
      </w:r>
      <w:r>
        <w:t xml:space="preserve"> section following </w:t>
      </w:r>
      <w:r w:rsidRPr="6406B28D">
        <w:rPr>
          <w:i/>
          <w:iCs/>
        </w:rPr>
        <w:t>Analysis – Part II</w:t>
      </w:r>
      <w:r>
        <w:t>.</w:t>
      </w:r>
      <w:r w:rsidR="00777C50" w:rsidRPr="00777C50">
        <w:rPr>
          <w:noProof/>
        </w:rPr>
        <w:t xml:space="preserve"> </w:t>
      </w:r>
    </w:p>
    <w:p w14:paraId="3F717FDA" w14:textId="2CE45EED" w:rsidR="00225037" w:rsidRDefault="6406B28D" w:rsidP="6406B28D">
      <w:pPr>
        <w:rPr>
          <w:u w:val="single"/>
        </w:rPr>
      </w:pPr>
      <w:r w:rsidRPr="6406B28D">
        <w:rPr>
          <w:u w:val="single"/>
        </w:rPr>
        <w:t>Analysis – Part II (Principal Components Regression):</w:t>
      </w:r>
    </w:p>
    <w:p w14:paraId="74C5A0A1" w14:textId="0F0D531B" w:rsidR="00AD7CA7" w:rsidRDefault="6406B28D" w:rsidP="00225037">
      <w:r>
        <w:t>The next step toward predicting the amount of community violent crimes is to perform the actual Principal Components Regression. This will facilitate insertion of the same principal components derived during PCA into a linear model for response prediction. Before applying the model, however, further analysis may be made around principal component selection via cross-validation.</w:t>
      </w:r>
    </w:p>
    <w:p w14:paraId="52F16880" w14:textId="681BEC6F" w:rsidR="00E56EFD" w:rsidRDefault="00AD7CA7" w:rsidP="00225037">
      <w:r>
        <w:t>Leave-one-out (LO</w:t>
      </w:r>
      <w:r w:rsidR="009C0F52">
        <w:t>O</w:t>
      </w:r>
      <w:r>
        <w:t xml:space="preserve">) cross-validation may be performed in conjunction with PCR to enhance principal component selection. Both </w:t>
      </w:r>
      <w:r w:rsidR="00A75CEC">
        <w:t>Root</w:t>
      </w:r>
      <w:r w:rsidR="004C6901">
        <w:t>-</w:t>
      </w:r>
      <w:r w:rsidR="00A75CEC">
        <w:t>Mean</w:t>
      </w:r>
      <w:r w:rsidR="004C6901">
        <w:t>-</w:t>
      </w:r>
      <w:r w:rsidR="00A75CEC">
        <w:t>Square</w:t>
      </w:r>
      <w:r w:rsidR="004C6901">
        <w:t>-</w:t>
      </w:r>
      <w:r w:rsidR="00A75CEC">
        <w:t>Error C</w:t>
      </w:r>
      <w:r>
        <w:t xml:space="preserve">oefficient of </w:t>
      </w:r>
      <w:r w:rsidR="00A75CEC">
        <w:t>V</w:t>
      </w:r>
      <w:r>
        <w:t xml:space="preserve">ariance (CV) and PRESS statistics are calculated </w:t>
      </w:r>
      <w:r w:rsidR="00ED7D15">
        <w:t>during</w:t>
      </w:r>
      <w:r>
        <w:t xml:space="preserve"> LO</w:t>
      </w:r>
      <w:r w:rsidR="009C0F52">
        <w:t>O</w:t>
      </w:r>
      <w:r>
        <w:t xml:space="preserve"> cr</w:t>
      </w:r>
      <w:r w:rsidR="00ED7D15">
        <w:t xml:space="preserve">oss-validation, and their values are displayed in </w:t>
      </w:r>
      <w:r w:rsidR="00ED7D15">
        <w:fldChar w:fldCharType="begin"/>
      </w:r>
      <w:r w:rsidR="00ED7D15">
        <w:instrText xml:space="preserve"> REF _Ref466148631 \h </w:instrText>
      </w:r>
      <w:r w:rsidR="00ED7D15">
        <w:fldChar w:fldCharType="separate"/>
      </w:r>
      <w:r w:rsidR="00CD7139">
        <w:t xml:space="preserve">Table </w:t>
      </w:r>
      <w:r w:rsidR="00CD7139">
        <w:rPr>
          <w:noProof/>
        </w:rPr>
        <w:t>3</w:t>
      </w:r>
      <w:r w:rsidR="00ED7D15">
        <w:fldChar w:fldCharType="end"/>
      </w:r>
      <w:r w:rsidR="00ED7D15">
        <w:t>. The threshold for principal component selection when reviewing PRE</w:t>
      </w:r>
      <w:r w:rsidR="000E3FC3">
        <w:t>SS and CV values is the number of components at which the variance value drops to its lowest initial point and then begins to climb again. This takes place at fifteen principal components as highlighted in</w:t>
      </w:r>
      <w:r w:rsidR="001E5B3E">
        <w:t xml:space="preserve"> green in</w:t>
      </w:r>
      <w:r w:rsidR="000E3FC3">
        <w:t xml:space="preserve"> </w:t>
      </w:r>
      <w:r w:rsidR="000E3FC3">
        <w:fldChar w:fldCharType="begin"/>
      </w:r>
      <w:r w:rsidR="000E3FC3">
        <w:instrText xml:space="preserve"> REF _Ref466149431 \h </w:instrText>
      </w:r>
      <w:r w:rsidR="000E3FC3">
        <w:fldChar w:fldCharType="separate"/>
      </w:r>
      <w:r w:rsidR="00CD7139">
        <w:t xml:space="preserve">Table </w:t>
      </w:r>
      <w:r w:rsidR="00CD7139">
        <w:rPr>
          <w:noProof/>
        </w:rPr>
        <w:t>3</w:t>
      </w:r>
      <w:r w:rsidR="000E3FC3">
        <w:fldChar w:fldCharType="end"/>
      </w:r>
      <w:r w:rsidR="001E5B3E">
        <w:t xml:space="preserve"> (Yellow indicating values before and after fifteen components)</w:t>
      </w:r>
      <w:r w:rsidR="000E3FC3">
        <w:t xml:space="preserve">. In other words, </w:t>
      </w:r>
      <w:r w:rsidR="009C0F52">
        <w:t>LOO</w:t>
      </w:r>
      <w:r w:rsidR="000E3FC3">
        <w:t xml:space="preserve"> cross-validation identifies fifteen components as being appropriate for community violent crime predictions</w:t>
      </w:r>
      <w:r w:rsidR="001E5B3E">
        <w:t xml:space="preserve"> since this is the point of least variance before added variance is introduced again</w:t>
      </w:r>
      <w:r w:rsidR="000E3FC3">
        <w:t>.</w:t>
      </w:r>
    </w:p>
    <w:p w14:paraId="1C97CF56" w14:textId="2AE21578" w:rsidR="005B152E" w:rsidRDefault="005B152E" w:rsidP="005B152E">
      <w:pPr>
        <w:pStyle w:val="Caption"/>
        <w:keepNext/>
        <w:jc w:val="center"/>
      </w:pPr>
      <w:bookmarkStart w:id="5" w:name="_Ref466148631"/>
      <w:bookmarkStart w:id="6" w:name="_Ref466149431"/>
      <w:r>
        <w:lastRenderedPageBreak/>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3</w:t>
      </w:r>
      <w:r w:rsidR="007110D7" w:rsidRPr="1E23FE13">
        <w:fldChar w:fldCharType="end"/>
      </w:r>
      <w:bookmarkEnd w:id="5"/>
      <w:bookmarkEnd w:id="6"/>
      <w:r>
        <w:t>.  LO</w:t>
      </w:r>
      <w:r w:rsidR="009C0F52">
        <w:t>O</w:t>
      </w:r>
      <w:r>
        <w:t xml:space="preserve"> Cross-Validation</w:t>
      </w:r>
      <w:r w:rsidR="00ED7D15">
        <w:t xml:space="preserve"> Coefficient of Vari</w:t>
      </w:r>
      <w:r w:rsidR="00CE08CE">
        <w:t>ance,</w:t>
      </w:r>
      <w:r>
        <w:t xml:space="preserve"> PRESS</w:t>
      </w:r>
      <w:r w:rsidR="00CE08CE">
        <w:t>, and R</w:t>
      </w:r>
      <w:r w:rsidR="00CE08CE">
        <w:rPr>
          <w:vertAlign w:val="superscript"/>
        </w:rPr>
        <w:t>2</w:t>
      </w:r>
      <w:r>
        <w:t xml:space="preserve"> Statistics</w:t>
      </w:r>
      <w:r w:rsidR="00D10D84">
        <w:t xml:space="preserve"> for first 20 PCs</w:t>
      </w:r>
    </w:p>
    <w:p w14:paraId="7CBE4EA4" w14:textId="2F1442D6" w:rsidR="005B152E" w:rsidRDefault="004F097D" w:rsidP="005B152E">
      <w:pPr>
        <w:jc w:val="center"/>
        <w:rPr>
          <w:u w:val="single"/>
        </w:rPr>
      </w:pPr>
      <w:r w:rsidRPr="004F097D">
        <w:rPr>
          <w:noProof/>
          <w:lang w:eastAsia="ja-JP"/>
        </w:rPr>
        <w:drawing>
          <wp:inline distT="0" distB="0" distL="0" distR="0" wp14:anchorId="3860571B" wp14:editId="2A76EAA3">
            <wp:extent cx="396875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4000500"/>
                    </a:xfrm>
                    <a:prstGeom prst="rect">
                      <a:avLst/>
                    </a:prstGeom>
                    <a:noFill/>
                    <a:ln>
                      <a:noFill/>
                    </a:ln>
                  </pic:spPr>
                </pic:pic>
              </a:graphicData>
            </a:graphic>
          </wp:inline>
        </w:drawing>
      </w:r>
    </w:p>
    <w:p w14:paraId="3A45D11B" w14:textId="7E7161A7" w:rsidR="000E3FC3" w:rsidRDefault="6406B28D" w:rsidP="000E3FC3">
      <w:r>
        <w:t>Recall the selected components in the previous section were the first seven principal components. Fifteen principal components are more than double the previous selection! While cross-validation has accounted for changes in variance, it has not accounted for decreasing rates of diminishing explained variance as is done while reviewing Scree and Cumulative Variance plots. Therefore, both seven and fifteen principal components will be considered going forward as valid options.</w:t>
      </w:r>
    </w:p>
    <w:p w14:paraId="5EBC315D" w14:textId="527721BC" w:rsidR="00C65066" w:rsidRDefault="00FF1B85" w:rsidP="000E3FC3">
      <w:r>
        <w:t xml:space="preserve">Being that predictions on community violent crimes will be made, it is </w:t>
      </w:r>
      <w:r w:rsidR="00A64227">
        <w:t>helpful</w:t>
      </w:r>
      <w:r>
        <w:t xml:space="preserve"> to note the</w:t>
      </w:r>
      <w:r w:rsidR="00A64227">
        <w:t xml:space="preserve"> Coefficient of Determination,</w:t>
      </w:r>
      <w:r>
        <w:t xml:space="preserve"> R</w:t>
      </w:r>
      <w:r>
        <w:rPr>
          <w:vertAlign w:val="superscript"/>
        </w:rPr>
        <w:t>2</w:t>
      </w:r>
      <w:r w:rsidR="00A64227">
        <w:t>,</w:t>
      </w:r>
      <w:r>
        <w:rPr>
          <w:vertAlign w:val="superscript"/>
        </w:rPr>
        <w:t xml:space="preserve"> </w:t>
      </w:r>
      <w:r>
        <w:t xml:space="preserve">values for both principal component model scenarios. These values are highlighted in purple within </w:t>
      </w:r>
      <w:r>
        <w:fldChar w:fldCharType="begin"/>
      </w:r>
      <w:r>
        <w:instrText xml:space="preserve"> REF _Ref466148631 \h </w:instrText>
      </w:r>
      <w:r>
        <w:fldChar w:fldCharType="separate"/>
      </w:r>
      <w:r w:rsidR="00CD7139">
        <w:t xml:space="preserve">Table </w:t>
      </w:r>
      <w:r w:rsidR="00CD7139">
        <w:rPr>
          <w:noProof/>
        </w:rPr>
        <w:t>3</w:t>
      </w:r>
      <w:r>
        <w:fldChar w:fldCharType="end"/>
      </w:r>
      <w:r>
        <w:t xml:space="preserve"> for both seven and fifteen components. When accounting for the number of </w:t>
      </w:r>
      <w:r w:rsidR="00376301">
        <w:t>PCs</w:t>
      </w:r>
      <w:r>
        <w:t xml:space="preserve"> included in </w:t>
      </w:r>
      <w:r w:rsidR="00A64227">
        <w:t>each</w:t>
      </w:r>
      <w:r>
        <w:t xml:space="preserve"> model</w:t>
      </w:r>
      <w:r w:rsidR="007D17DC">
        <w:t>, the adjusted</w:t>
      </w:r>
      <w:r w:rsidR="00A64227">
        <w:t>-</w:t>
      </w:r>
      <w:r w:rsidR="007D17DC">
        <w:t>R</w:t>
      </w:r>
      <w:r w:rsidR="007D17DC">
        <w:rPr>
          <w:vertAlign w:val="superscript"/>
        </w:rPr>
        <w:t>2</w:t>
      </w:r>
      <w:r w:rsidR="00A64227">
        <w:t xml:space="preserve"> values are 0.6814 and 0.7073 for seven and fifteen PCs respectively. This, in combination with the other PC adjusted-R</w:t>
      </w:r>
      <w:r w:rsidR="00A64227">
        <w:rPr>
          <w:vertAlign w:val="superscript"/>
        </w:rPr>
        <w:t>2</w:t>
      </w:r>
      <w:r w:rsidR="00A64227">
        <w:t xml:space="preserve"> values, clearly expresses that not much is gained by including fifteen components vs. seven components and that the rate of increasing R</w:t>
      </w:r>
      <w:r w:rsidR="00A64227">
        <w:rPr>
          <w:vertAlign w:val="superscript"/>
        </w:rPr>
        <w:t>2</w:t>
      </w:r>
      <w:r w:rsidR="00A64227">
        <w:t xml:space="preserve"> values decreases substantially after seven PCs are included</w:t>
      </w:r>
      <w:r w:rsidR="005F6FF8">
        <w:t xml:space="preserve"> (See </w:t>
      </w:r>
      <w:r w:rsidR="005F6FF8">
        <w:fldChar w:fldCharType="begin"/>
      </w:r>
      <w:r w:rsidR="005F6FF8">
        <w:instrText xml:space="preserve"> REF _Ref466157787 \h </w:instrText>
      </w:r>
      <w:r w:rsidR="005F6FF8">
        <w:fldChar w:fldCharType="separate"/>
      </w:r>
      <w:r w:rsidR="00CD7139">
        <w:t xml:space="preserve">Figure </w:t>
      </w:r>
      <w:r w:rsidR="00CD7139">
        <w:rPr>
          <w:noProof/>
        </w:rPr>
        <w:t>2</w:t>
      </w:r>
      <w:r w:rsidR="005F6FF8">
        <w:fldChar w:fldCharType="end"/>
      </w:r>
      <w:r w:rsidR="005F6FF8">
        <w:t>)</w:t>
      </w:r>
      <w:r w:rsidR="004D4EEA">
        <w:t>, further validating this selection</w:t>
      </w:r>
      <w:r w:rsidR="00A64227">
        <w:t>.</w:t>
      </w:r>
    </w:p>
    <w:p w14:paraId="74E32E41" w14:textId="77777777" w:rsidR="005F6FF8" w:rsidRDefault="005F6FF8" w:rsidP="005F6FF8">
      <w:pPr>
        <w:keepNext/>
        <w:jc w:val="center"/>
      </w:pPr>
      <w:r w:rsidRPr="005F6FF8">
        <w:rPr>
          <w:noProof/>
          <w:lang w:eastAsia="ja-JP"/>
        </w:rPr>
        <w:lastRenderedPageBreak/>
        <w:drawing>
          <wp:inline distT="0" distB="0" distL="0" distR="0" wp14:anchorId="08F06321" wp14:editId="563FC67F">
            <wp:extent cx="2514600" cy="22146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5843" cy="2259786"/>
                    </a:xfrm>
                    <a:prstGeom prst="rect">
                      <a:avLst/>
                    </a:prstGeom>
                  </pic:spPr>
                </pic:pic>
              </a:graphicData>
            </a:graphic>
          </wp:inline>
        </w:drawing>
      </w:r>
    </w:p>
    <w:p w14:paraId="09E6EB4D" w14:textId="453B9F55" w:rsidR="005F6FF8" w:rsidRDefault="005F6FF8" w:rsidP="00A03907">
      <w:pPr>
        <w:pStyle w:val="Caption"/>
        <w:jc w:val="center"/>
      </w:pPr>
      <w:bookmarkStart w:id="7" w:name="_Ref466157787"/>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2</w:t>
      </w:r>
      <w:r w:rsidR="007110D7" w:rsidRPr="1E23FE13">
        <w:fldChar w:fldCharType="end"/>
      </w:r>
      <w:bookmarkEnd w:id="7"/>
      <w:r>
        <w:t>.  Adjusted-R</w:t>
      </w:r>
      <w:r>
        <w:rPr>
          <w:vertAlign w:val="superscript"/>
        </w:rPr>
        <w:t>2</w:t>
      </w:r>
      <w:r>
        <w:t xml:space="preserve"> Values for First 20 PCs</w:t>
      </w:r>
    </w:p>
    <w:p w14:paraId="294E775C" w14:textId="2D6BED4D" w:rsidR="000D41E2" w:rsidRDefault="00A75CEC" w:rsidP="000E3FC3">
      <w:r>
        <w:t>With both models selected, i</w:t>
      </w:r>
      <w:r w:rsidRPr="00A75CEC">
        <w:t>t</w:t>
      </w:r>
      <w:r>
        <w:t xml:space="preserve"> is now time to apply them to the test data </w:t>
      </w:r>
      <w:r w:rsidR="00EE3ECA">
        <w:t xml:space="preserve">sidelined </w:t>
      </w:r>
      <w:r>
        <w:t>previously. Doing so will further validate the strength of each model.</w:t>
      </w:r>
      <w:r w:rsidR="004C6901">
        <w:t xml:space="preserve"> The first step in doing so shall be to compare the predicted Root-Mean-Square-Error</w:t>
      </w:r>
      <w:r w:rsidR="00413BC9">
        <w:t xml:space="preserve"> Coefficient of Variance against the CV obtained </w:t>
      </w:r>
      <w:r w:rsidR="00E21853">
        <w:t xml:space="preserve">during </w:t>
      </w:r>
      <w:r w:rsidR="009C0F52">
        <w:t>LOO</w:t>
      </w:r>
      <w:r w:rsidR="00E21853">
        <w:t xml:space="preserve"> cross-validation using the training set. Both values are provided in </w:t>
      </w:r>
      <w:r w:rsidR="00E21853">
        <w:fldChar w:fldCharType="begin"/>
      </w:r>
      <w:r w:rsidR="00E21853">
        <w:instrText xml:space="preserve"> REF _Ref466158702 \h </w:instrText>
      </w:r>
      <w:r w:rsidR="00E21853">
        <w:fldChar w:fldCharType="separate"/>
      </w:r>
      <w:r w:rsidR="00CD7139">
        <w:t xml:space="preserve">Table </w:t>
      </w:r>
      <w:r w:rsidR="00CD7139">
        <w:rPr>
          <w:noProof/>
        </w:rPr>
        <w:t>4</w:t>
      </w:r>
      <w:r w:rsidR="00E21853">
        <w:fldChar w:fldCharType="end"/>
      </w:r>
      <w:r w:rsidR="00E21853">
        <w:t xml:space="preserve"> and their difference calculated. These results indicate that the difference in variance between the test and training data is less than 0.5%</w:t>
      </w:r>
      <w:r w:rsidR="008A6909">
        <w:t xml:space="preserve"> for fifteen PCs and less than 0.2% for seven PCs. Based on these differences, the models appear to be good fits. </w:t>
      </w:r>
    </w:p>
    <w:p w14:paraId="79E9B3A1" w14:textId="7015BABF" w:rsidR="00E21853" w:rsidRDefault="00E21853" w:rsidP="00E21853">
      <w:pPr>
        <w:pStyle w:val="Caption"/>
        <w:keepNext/>
        <w:jc w:val="center"/>
      </w:pPr>
      <w:bookmarkStart w:id="8" w:name="_Ref466158702"/>
      <w:r>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4</w:t>
      </w:r>
      <w:r w:rsidR="007110D7" w:rsidRPr="1E23FE13">
        <w:fldChar w:fldCharType="end"/>
      </w:r>
      <w:bookmarkEnd w:id="8"/>
      <w:r>
        <w:t>.  CV Comparison Between Training and Test Data Sets for 7 and 15 PCs</w:t>
      </w:r>
    </w:p>
    <w:tbl>
      <w:tblPr>
        <w:tblW w:w="5360" w:type="dxa"/>
        <w:jc w:val="center"/>
        <w:tblLook w:val="04A0" w:firstRow="1" w:lastRow="0" w:firstColumn="1" w:lastColumn="0" w:noHBand="0" w:noVBand="1"/>
      </w:tblPr>
      <w:tblGrid>
        <w:gridCol w:w="1760"/>
        <w:gridCol w:w="960"/>
        <w:gridCol w:w="1055"/>
        <w:gridCol w:w="785"/>
        <w:gridCol w:w="800"/>
      </w:tblGrid>
      <w:tr w:rsidR="00E21853" w:rsidRPr="00E21853" w14:paraId="510F8D1A" w14:textId="77777777" w:rsidTr="6406B28D">
        <w:trPr>
          <w:trHeight w:val="240"/>
          <w:jc w:val="center"/>
        </w:trPr>
        <w:tc>
          <w:tcPr>
            <w:tcW w:w="1760" w:type="dxa"/>
            <w:tcBorders>
              <w:top w:val="single" w:sz="4" w:space="0" w:color="auto"/>
              <w:left w:val="single" w:sz="4" w:space="0" w:color="auto"/>
              <w:bottom w:val="single" w:sz="4" w:space="0" w:color="auto"/>
              <w:right w:val="single" w:sz="4" w:space="0" w:color="auto"/>
            </w:tcBorders>
            <w:shd w:val="clear" w:color="auto" w:fill="DDEBF7"/>
            <w:vAlign w:val="bottom"/>
            <w:hideMark/>
          </w:tcPr>
          <w:p w14:paraId="4F71BF4C" w14:textId="77777777" w:rsidR="00E21853" w:rsidRPr="00E21853" w:rsidRDefault="00E21853" w:rsidP="00E21853">
            <w:pPr>
              <w:spacing w:after="0" w:line="240" w:lineRule="auto"/>
              <w:jc w:val="center"/>
              <w:rPr>
                <w:rFonts w:ascii="Calibri" w:eastAsia="Times New Roman" w:hAnsi="Calibri" w:cs="Calibri"/>
                <w:b/>
                <w:bCs/>
                <w:color w:val="000000"/>
                <w:sz w:val="16"/>
                <w:szCs w:val="16"/>
              </w:rPr>
            </w:pPr>
            <w:proofErr w:type="spellStart"/>
            <w:r w:rsidRPr="00E21853">
              <w:rPr>
                <w:rFonts w:ascii="Calibri" w:eastAsia="Times New Roman" w:hAnsi="Calibri" w:cs="Calibri"/>
                <w:b/>
                <w:bCs/>
                <w:color w:val="000000"/>
                <w:sz w:val="16"/>
                <w:szCs w:val="16"/>
              </w:rPr>
              <w:t>Response.Var</w:t>
            </w:r>
            <w:proofErr w:type="spellEnd"/>
          </w:p>
        </w:tc>
        <w:tc>
          <w:tcPr>
            <w:tcW w:w="960" w:type="dxa"/>
            <w:tcBorders>
              <w:top w:val="single" w:sz="4" w:space="0" w:color="auto"/>
              <w:left w:val="nil"/>
              <w:bottom w:val="single" w:sz="4" w:space="0" w:color="auto"/>
              <w:right w:val="single" w:sz="4" w:space="0" w:color="auto"/>
            </w:tcBorders>
            <w:shd w:val="clear" w:color="auto" w:fill="DDEBF7"/>
            <w:vAlign w:val="bottom"/>
            <w:hideMark/>
          </w:tcPr>
          <w:p w14:paraId="59C4986E"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PC</w:t>
            </w:r>
          </w:p>
        </w:tc>
        <w:tc>
          <w:tcPr>
            <w:tcW w:w="1055" w:type="dxa"/>
            <w:tcBorders>
              <w:top w:val="single" w:sz="4" w:space="0" w:color="auto"/>
              <w:left w:val="nil"/>
              <w:bottom w:val="single" w:sz="4" w:space="0" w:color="auto"/>
              <w:right w:val="single" w:sz="4" w:space="0" w:color="auto"/>
            </w:tcBorders>
            <w:shd w:val="clear" w:color="auto" w:fill="DDEBF7"/>
            <w:vAlign w:val="bottom"/>
            <w:hideMark/>
          </w:tcPr>
          <w:p w14:paraId="66189B49"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Training CV</w:t>
            </w:r>
          </w:p>
        </w:tc>
        <w:tc>
          <w:tcPr>
            <w:tcW w:w="785" w:type="dxa"/>
            <w:tcBorders>
              <w:top w:val="single" w:sz="4" w:space="0" w:color="auto"/>
              <w:left w:val="nil"/>
              <w:bottom w:val="single" w:sz="4" w:space="0" w:color="auto"/>
              <w:right w:val="single" w:sz="4" w:space="0" w:color="auto"/>
            </w:tcBorders>
            <w:shd w:val="clear" w:color="auto" w:fill="DDEBF7"/>
            <w:vAlign w:val="bottom"/>
            <w:hideMark/>
          </w:tcPr>
          <w:p w14:paraId="590A2BDD"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Test CV</w:t>
            </w:r>
          </w:p>
        </w:tc>
        <w:tc>
          <w:tcPr>
            <w:tcW w:w="800" w:type="dxa"/>
            <w:tcBorders>
              <w:top w:val="single" w:sz="4" w:space="0" w:color="auto"/>
              <w:left w:val="nil"/>
              <w:bottom w:val="single" w:sz="4" w:space="0" w:color="auto"/>
              <w:right w:val="single" w:sz="4" w:space="0" w:color="auto"/>
            </w:tcBorders>
            <w:shd w:val="clear" w:color="auto" w:fill="DDEBF7"/>
            <w:vAlign w:val="bottom"/>
            <w:hideMark/>
          </w:tcPr>
          <w:p w14:paraId="7641B026"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CV Delta</w:t>
            </w:r>
          </w:p>
        </w:tc>
      </w:tr>
      <w:tr w:rsidR="00E21853" w:rsidRPr="00E21853" w14:paraId="69680F58" w14:textId="77777777" w:rsidTr="6406B28D">
        <w:trPr>
          <w:trHeight w:val="240"/>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A4FC7B" w14:textId="77777777" w:rsidR="00E21853" w:rsidRPr="00E21853" w:rsidRDefault="6406B28D" w:rsidP="6406B28D">
            <w:pPr>
              <w:spacing w:after="0" w:line="240" w:lineRule="auto"/>
              <w:jc w:val="center"/>
              <w:rPr>
                <w:rFonts w:ascii="Calibri,Times New Roman" w:eastAsia="Calibri,Times New Roman" w:hAnsi="Calibri,Times New Roman" w:cs="Calibri,Times New Roman"/>
                <w:color w:val="000000" w:themeColor="text1"/>
                <w:sz w:val="16"/>
                <w:szCs w:val="16"/>
              </w:rPr>
            </w:pPr>
            <w:proofErr w:type="spellStart"/>
            <w:r w:rsidRPr="6406B28D">
              <w:rPr>
                <w:rFonts w:ascii="Calibri,Times New Roman" w:eastAsia="Calibri,Times New Roman" w:hAnsi="Calibri,Times New Roman" w:cs="Calibri,Times New Roman"/>
                <w:color w:val="000000" w:themeColor="text1"/>
                <w:sz w:val="16"/>
                <w:szCs w:val="16"/>
              </w:rPr>
              <w:t>ViolentCrimesPerPop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076D2F3" w14:textId="77777777" w:rsidR="00E21853" w:rsidRPr="00E21853" w:rsidRDefault="6406B28D" w:rsidP="6406B28D">
            <w:pPr>
              <w:spacing w:after="0" w:line="240" w:lineRule="auto"/>
              <w:rPr>
                <w:rFonts w:ascii="Calibri,Times New Roman" w:eastAsia="Calibri,Times New Roman" w:hAnsi="Calibri,Times New Roman" w:cs="Calibri,Times New Roman"/>
                <w:color w:val="000000" w:themeColor="text1"/>
                <w:sz w:val="16"/>
                <w:szCs w:val="16"/>
              </w:rPr>
            </w:pPr>
            <w:r w:rsidRPr="6406B28D">
              <w:rPr>
                <w:rFonts w:ascii="Calibri,Times New Roman" w:eastAsia="Calibri,Times New Roman" w:hAnsi="Calibri,Times New Roman" w:cs="Calibri,Times New Roman"/>
                <w:color w:val="000000" w:themeColor="text1"/>
                <w:sz w:val="16"/>
                <w:szCs w:val="16"/>
              </w:rPr>
              <w:t>7 comps</w:t>
            </w:r>
          </w:p>
        </w:tc>
        <w:tc>
          <w:tcPr>
            <w:tcW w:w="1055" w:type="dxa"/>
            <w:tcBorders>
              <w:top w:val="nil"/>
              <w:left w:val="nil"/>
              <w:bottom w:val="single" w:sz="4" w:space="0" w:color="auto"/>
              <w:right w:val="single" w:sz="4" w:space="0" w:color="auto"/>
            </w:tcBorders>
            <w:shd w:val="clear" w:color="auto" w:fill="auto"/>
            <w:noWrap/>
            <w:vAlign w:val="bottom"/>
            <w:hideMark/>
          </w:tcPr>
          <w:p w14:paraId="29878D12"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0.1089</w:t>
            </w:r>
          </w:p>
        </w:tc>
        <w:tc>
          <w:tcPr>
            <w:tcW w:w="785" w:type="dxa"/>
            <w:tcBorders>
              <w:top w:val="nil"/>
              <w:left w:val="nil"/>
              <w:bottom w:val="single" w:sz="4" w:space="0" w:color="auto"/>
              <w:right w:val="single" w:sz="4" w:space="0" w:color="auto"/>
            </w:tcBorders>
            <w:shd w:val="clear" w:color="auto" w:fill="auto"/>
            <w:noWrap/>
            <w:vAlign w:val="bottom"/>
            <w:hideMark/>
          </w:tcPr>
          <w:p w14:paraId="503BA861"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0.1108</w:t>
            </w:r>
          </w:p>
        </w:tc>
        <w:tc>
          <w:tcPr>
            <w:tcW w:w="800" w:type="dxa"/>
            <w:tcBorders>
              <w:top w:val="nil"/>
              <w:left w:val="nil"/>
              <w:bottom w:val="single" w:sz="4" w:space="0" w:color="auto"/>
              <w:right w:val="single" w:sz="4" w:space="0" w:color="auto"/>
            </w:tcBorders>
            <w:shd w:val="clear" w:color="auto" w:fill="auto"/>
            <w:noWrap/>
            <w:vAlign w:val="bottom"/>
            <w:hideMark/>
          </w:tcPr>
          <w:p w14:paraId="1BB77DF6"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0.0019</w:t>
            </w:r>
          </w:p>
        </w:tc>
      </w:tr>
      <w:tr w:rsidR="00E21853" w:rsidRPr="00E21853" w14:paraId="5B755AAB" w14:textId="77777777" w:rsidTr="6406B28D">
        <w:trPr>
          <w:trHeight w:val="240"/>
          <w:jc w:val="center"/>
        </w:trPr>
        <w:tc>
          <w:tcPr>
            <w:tcW w:w="1760" w:type="dxa"/>
            <w:vMerge/>
            <w:tcBorders>
              <w:top w:val="nil"/>
              <w:left w:val="single" w:sz="4" w:space="0" w:color="auto"/>
              <w:bottom w:val="single" w:sz="4" w:space="0" w:color="auto"/>
              <w:right w:val="single" w:sz="4" w:space="0" w:color="auto"/>
            </w:tcBorders>
            <w:vAlign w:val="center"/>
            <w:hideMark/>
          </w:tcPr>
          <w:p w14:paraId="5821A006" w14:textId="77777777" w:rsidR="00E21853" w:rsidRPr="00E21853" w:rsidRDefault="00E21853" w:rsidP="00E21853">
            <w:pPr>
              <w:spacing w:after="0" w:line="240" w:lineRule="auto"/>
              <w:rPr>
                <w:rFonts w:ascii="Calibri" w:eastAsia="Times New Roman" w:hAnsi="Calibri" w:cs="Calibri"/>
                <w:color w:val="000000"/>
                <w:sz w:val="16"/>
                <w:szCs w:val="16"/>
              </w:rPr>
            </w:pPr>
          </w:p>
        </w:tc>
        <w:tc>
          <w:tcPr>
            <w:tcW w:w="960" w:type="dxa"/>
            <w:tcBorders>
              <w:top w:val="nil"/>
              <w:left w:val="nil"/>
              <w:bottom w:val="single" w:sz="4" w:space="0" w:color="auto"/>
              <w:right w:val="single" w:sz="4" w:space="0" w:color="auto"/>
            </w:tcBorders>
            <w:shd w:val="clear" w:color="auto" w:fill="auto"/>
            <w:noWrap/>
            <w:vAlign w:val="bottom"/>
            <w:hideMark/>
          </w:tcPr>
          <w:p w14:paraId="1D04E617" w14:textId="77777777" w:rsidR="00E21853" w:rsidRPr="00E21853" w:rsidRDefault="6406B28D" w:rsidP="6406B28D">
            <w:pPr>
              <w:spacing w:after="0" w:line="240" w:lineRule="auto"/>
              <w:rPr>
                <w:rFonts w:ascii="Calibri,Times New Roman" w:eastAsia="Calibri,Times New Roman" w:hAnsi="Calibri,Times New Roman" w:cs="Calibri,Times New Roman"/>
                <w:color w:val="000000" w:themeColor="text1"/>
                <w:sz w:val="16"/>
                <w:szCs w:val="16"/>
              </w:rPr>
            </w:pPr>
            <w:r w:rsidRPr="6406B28D">
              <w:rPr>
                <w:rFonts w:ascii="Calibri,Times New Roman" w:eastAsia="Calibri,Times New Roman" w:hAnsi="Calibri,Times New Roman" w:cs="Calibri,Times New Roman"/>
                <w:color w:val="000000" w:themeColor="text1"/>
                <w:sz w:val="16"/>
                <w:szCs w:val="16"/>
              </w:rPr>
              <w:t>15 comps</w:t>
            </w:r>
          </w:p>
        </w:tc>
        <w:tc>
          <w:tcPr>
            <w:tcW w:w="1055" w:type="dxa"/>
            <w:tcBorders>
              <w:top w:val="nil"/>
              <w:left w:val="nil"/>
              <w:bottom w:val="single" w:sz="4" w:space="0" w:color="auto"/>
              <w:right w:val="single" w:sz="4" w:space="0" w:color="auto"/>
            </w:tcBorders>
            <w:shd w:val="clear" w:color="auto" w:fill="auto"/>
            <w:noWrap/>
            <w:vAlign w:val="bottom"/>
            <w:hideMark/>
          </w:tcPr>
          <w:p w14:paraId="5FFBC703"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0.1049</w:t>
            </w:r>
          </w:p>
        </w:tc>
        <w:tc>
          <w:tcPr>
            <w:tcW w:w="785" w:type="dxa"/>
            <w:tcBorders>
              <w:top w:val="nil"/>
              <w:left w:val="nil"/>
              <w:bottom w:val="single" w:sz="4" w:space="0" w:color="auto"/>
              <w:right w:val="single" w:sz="4" w:space="0" w:color="auto"/>
            </w:tcBorders>
            <w:shd w:val="clear" w:color="auto" w:fill="auto"/>
            <w:noWrap/>
            <w:vAlign w:val="bottom"/>
            <w:hideMark/>
          </w:tcPr>
          <w:p w14:paraId="590EA2F1"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0.1092</w:t>
            </w:r>
          </w:p>
        </w:tc>
        <w:tc>
          <w:tcPr>
            <w:tcW w:w="800" w:type="dxa"/>
            <w:tcBorders>
              <w:top w:val="nil"/>
              <w:left w:val="nil"/>
              <w:bottom w:val="single" w:sz="4" w:space="0" w:color="auto"/>
              <w:right w:val="single" w:sz="4" w:space="0" w:color="auto"/>
            </w:tcBorders>
            <w:shd w:val="clear" w:color="auto" w:fill="auto"/>
            <w:noWrap/>
            <w:vAlign w:val="bottom"/>
            <w:hideMark/>
          </w:tcPr>
          <w:p w14:paraId="218DE420"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0.0043</w:t>
            </w:r>
          </w:p>
        </w:tc>
      </w:tr>
    </w:tbl>
    <w:p w14:paraId="29C9E9AF" w14:textId="52496A83" w:rsidR="00E21853" w:rsidRDefault="00E21853" w:rsidP="00E21853">
      <w:pPr>
        <w:jc w:val="center"/>
        <w:rPr>
          <w:u w:val="single"/>
        </w:rPr>
      </w:pPr>
    </w:p>
    <w:p w14:paraId="65880D9D" w14:textId="6E9C5ABE" w:rsidR="008A6909" w:rsidRDefault="008A6909" w:rsidP="008A6909">
      <w:r>
        <w:t xml:space="preserve">The final step is to apply the models for prediction </w:t>
      </w:r>
      <w:r w:rsidR="00E54F10">
        <w:t xml:space="preserve">of community violent crime rates. </w:t>
      </w:r>
      <w:r w:rsidR="00FF7B4C">
        <w:t xml:space="preserve">The plots of </w:t>
      </w:r>
      <w:r w:rsidR="00FF7B4C">
        <w:fldChar w:fldCharType="begin"/>
      </w:r>
      <w:r w:rsidR="00FF7B4C">
        <w:instrText xml:space="preserve"> REF _Ref466159972 \h </w:instrText>
      </w:r>
      <w:r w:rsidR="00FF7B4C">
        <w:fldChar w:fldCharType="separate"/>
      </w:r>
      <w:r w:rsidR="00CD7139">
        <w:t xml:space="preserve">Figure </w:t>
      </w:r>
      <w:r w:rsidR="00CD7139">
        <w:rPr>
          <w:noProof/>
        </w:rPr>
        <w:t>3</w:t>
      </w:r>
      <w:r w:rsidR="00FF7B4C">
        <w:fldChar w:fldCharType="end"/>
      </w:r>
      <w:r w:rsidR="00FF7B4C">
        <w:t xml:space="preserve"> display predicted </w:t>
      </w:r>
      <w:proofErr w:type="spellStart"/>
      <w:r w:rsidR="00FF7B4C" w:rsidRPr="6406B28D">
        <w:rPr>
          <w:i/>
          <w:iCs/>
        </w:rPr>
        <w:t>ViolentCrimesPerPop</w:t>
      </w:r>
      <w:proofErr w:type="spellEnd"/>
      <w:r w:rsidR="00FF7B4C">
        <w:t xml:space="preserve"> values vs. measured values for every observation within the test data set</w:t>
      </w:r>
      <w:r w:rsidR="00035F63">
        <w:t>, for both the seven PC model and fifteen PC model</w:t>
      </w:r>
      <w:r w:rsidR="00FF7B4C">
        <w:t>.</w:t>
      </w:r>
      <w:r w:rsidR="00035F63">
        <w:t xml:space="preserve"> Portraying predictions in this way facilitates a high-level comparison of model accuracy. Further interpretations follow.</w:t>
      </w:r>
    </w:p>
    <w:p w14:paraId="31AFE913" w14:textId="26206880" w:rsidR="00FF7B4C" w:rsidRDefault="00FF7B4C" w:rsidP="00FF7B4C">
      <w:pPr>
        <w:keepNext/>
        <w:jc w:val="center"/>
      </w:pPr>
      <w:r w:rsidRPr="00FF7B4C">
        <w:rPr>
          <w:noProof/>
          <w:lang w:eastAsia="ja-JP"/>
        </w:rPr>
        <w:lastRenderedPageBreak/>
        <w:drawing>
          <wp:inline distT="0" distB="0" distL="0" distR="0" wp14:anchorId="4455CB05" wp14:editId="3E0538DB">
            <wp:extent cx="3771900" cy="1963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4951" cy="1990935"/>
                    </a:xfrm>
                    <a:prstGeom prst="rect">
                      <a:avLst/>
                    </a:prstGeom>
                  </pic:spPr>
                </pic:pic>
              </a:graphicData>
            </a:graphic>
          </wp:inline>
        </w:drawing>
      </w:r>
    </w:p>
    <w:p w14:paraId="448D538C" w14:textId="6D982AC2" w:rsidR="00FF7B4C" w:rsidRDefault="00FF7B4C" w:rsidP="00FF7B4C">
      <w:pPr>
        <w:pStyle w:val="Caption"/>
        <w:jc w:val="center"/>
      </w:pPr>
      <w:bookmarkStart w:id="9" w:name="_Ref466159972"/>
      <w:bookmarkStart w:id="10" w:name="_Ref466707415"/>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3</w:t>
      </w:r>
      <w:r w:rsidR="007110D7" w:rsidRPr="1E23FE13">
        <w:fldChar w:fldCharType="end"/>
      </w:r>
      <w:bookmarkEnd w:id="9"/>
      <w:r>
        <w:t>.  Predicted vs. Measured Response Values for the Test Data Set</w:t>
      </w:r>
      <w:bookmarkEnd w:id="10"/>
    </w:p>
    <w:p w14:paraId="661777DB" w14:textId="557BE013" w:rsidR="00225037" w:rsidRDefault="004763E4">
      <w:r>
        <w:rPr>
          <w:u w:val="single"/>
        </w:rPr>
        <w:t xml:space="preserve">Loadings </w:t>
      </w:r>
      <w:r w:rsidR="6406B28D" w:rsidRPr="6406B28D">
        <w:rPr>
          <w:u w:val="single"/>
        </w:rPr>
        <w:t>Interpretation:</w:t>
      </w:r>
    </w:p>
    <w:p w14:paraId="314530FD" w14:textId="6DAE7618" w:rsidR="007A276B" w:rsidRDefault="6406B28D" w:rsidP="00A826ED">
      <w:r>
        <w:t xml:space="preserve">As part of the </w:t>
      </w:r>
      <w:r w:rsidR="00B14D1A">
        <w:t>decision-making</w:t>
      </w:r>
      <w:r>
        <w:t xml:space="preserve"> process for identifying </w:t>
      </w:r>
      <w:r w:rsidR="000C1496">
        <w:t xml:space="preserve">four </w:t>
      </w:r>
      <w:r>
        <w:t xml:space="preserve">thresholds </w:t>
      </w:r>
      <w:r w:rsidR="000C1496">
        <w:t>(min &amp; max, 10% of the min max, 20% of the min max, 25% of the min max loading</w:t>
      </w:r>
      <w:r>
        <w:t xml:space="preserve"> values</w:t>
      </w:r>
      <w:r w:rsidR="00A826ED">
        <w:t>),</w:t>
      </w:r>
      <w:r>
        <w:t xml:space="preserve"> we reviewed 88 </w:t>
      </w:r>
      <w:r w:rsidR="007A276B">
        <w:t>variable</w:t>
      </w:r>
      <w:r w:rsidR="00A525F5">
        <w:t>s</w:t>
      </w:r>
      <w:r>
        <w:t xml:space="preserve"> </w:t>
      </w:r>
      <w:r w:rsidR="000C1496">
        <w:t>across</w:t>
      </w:r>
      <w:r>
        <w:t xml:space="preserve"> the fifteen principal components</w:t>
      </w:r>
      <w:r w:rsidR="00A826ED">
        <w:t xml:space="preserve">. </w:t>
      </w:r>
      <w:r w:rsidR="00A826ED" w:rsidRPr="00A826ED">
        <w:t>Due to the wide variability</w:t>
      </w:r>
      <w:r>
        <w:t xml:space="preserve"> in </w:t>
      </w:r>
      <w:r w:rsidR="00A826ED" w:rsidRPr="00A826ED">
        <w:t>minimum and maximum values between principal components, we evaluated different threshold ranges (from minimum &amp; maximum loading values) and thresholds of values that were within 10%, 20% and 25% of the maximum and minimum loading value. This evaluation was repeated across fifteen principal components and 88 variables as depicted in</w:t>
      </w:r>
      <w:r w:rsidR="00F15401">
        <w:t xml:space="preserve"> </w:t>
      </w:r>
      <w:r w:rsidR="00BE084B">
        <w:fldChar w:fldCharType="begin"/>
      </w:r>
      <w:r w:rsidR="00BE084B">
        <w:instrText xml:space="preserve"> REF _Ref466730282 \h </w:instrText>
      </w:r>
      <w:r w:rsidR="00BE084B">
        <w:fldChar w:fldCharType="separate"/>
      </w:r>
      <w:r w:rsidR="00CD7139">
        <w:t xml:space="preserve">Table </w:t>
      </w:r>
      <w:r w:rsidR="00CD7139">
        <w:rPr>
          <w:noProof/>
        </w:rPr>
        <w:t>6</w:t>
      </w:r>
      <w:r w:rsidR="00BE084B">
        <w:fldChar w:fldCharType="end"/>
      </w:r>
      <w:r w:rsidR="00A826ED" w:rsidRPr="00A826ED">
        <w:t>.</w:t>
      </w:r>
    </w:p>
    <w:p w14:paraId="6AC0D861" w14:textId="27ACD962" w:rsidR="006A65E2" w:rsidRPr="00A525F5" w:rsidRDefault="00C47510" w:rsidP="00A525F5">
      <w:pPr>
        <w:pStyle w:val="Caption"/>
        <w:keepNext/>
        <w:jc w:val="center"/>
        <w:rPr>
          <w:rStyle w:val="CommentReference"/>
          <w:sz w:val="18"/>
          <w:szCs w:val="18"/>
        </w:rPr>
      </w:pPr>
      <w:bookmarkStart w:id="11" w:name="_Ref466724009"/>
      <w:r>
        <w:t xml:space="preserve">Table </w:t>
      </w:r>
      <w:r w:rsidR="00E87239" w:rsidRPr="6406B28D">
        <w:fldChar w:fldCharType="begin"/>
      </w:r>
      <w:r w:rsidR="00E87239">
        <w:instrText xml:space="preserve"> SEQ Table \* ARABIC </w:instrText>
      </w:r>
      <w:r w:rsidR="00E87239" w:rsidRPr="6406B28D">
        <w:fldChar w:fldCharType="separate"/>
      </w:r>
      <w:r w:rsidR="00CD7139">
        <w:rPr>
          <w:noProof/>
        </w:rPr>
        <w:t>5</w:t>
      </w:r>
      <w:r w:rsidR="00E87239" w:rsidRPr="6406B28D">
        <w:fldChar w:fldCharType="end"/>
      </w:r>
      <w:bookmarkEnd w:id="11"/>
      <w:r>
        <w:t>.  Range of Correlated Values to Principal Components</w:t>
      </w:r>
    </w:p>
    <w:p w14:paraId="083A6F4F" w14:textId="59F36D9C" w:rsidR="002637A5" w:rsidRDefault="001D0C0C" w:rsidP="008E37AD">
      <w:pPr>
        <w:ind w:left="360"/>
        <w:jc w:val="center"/>
      </w:pPr>
      <w:r>
        <w:rPr>
          <w:noProof/>
          <w:lang w:eastAsia="ja-JP"/>
        </w:rPr>
        <w:drawing>
          <wp:inline distT="0" distB="0" distL="0" distR="0" wp14:anchorId="7683E10A" wp14:editId="3799EE7A">
            <wp:extent cx="4489450" cy="1761921"/>
            <wp:effectExtent l="0" t="0" r="6350" b="0"/>
            <wp:docPr id="66019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 t="11474" r="556" b="1395"/>
                    <a:stretch/>
                  </pic:blipFill>
                  <pic:spPr bwMode="auto">
                    <a:xfrm>
                      <a:off x="0" y="0"/>
                      <a:ext cx="4496403" cy="1764650"/>
                    </a:xfrm>
                    <a:prstGeom prst="rect">
                      <a:avLst/>
                    </a:prstGeom>
                    <a:ln>
                      <a:noFill/>
                    </a:ln>
                    <a:extLst>
                      <a:ext uri="{53640926-AAD7-44D8-BBD7-CCE9431645EC}">
                        <a14:shadowObscured xmlns:a14="http://schemas.microsoft.com/office/drawing/2010/main"/>
                      </a:ext>
                    </a:extLst>
                  </pic:spPr>
                </pic:pic>
              </a:graphicData>
            </a:graphic>
          </wp:inline>
        </w:drawing>
      </w:r>
    </w:p>
    <w:p w14:paraId="6F7DBB35" w14:textId="54833DCA" w:rsidR="6406B28D" w:rsidRDefault="6406B28D" w:rsidP="008E37AD">
      <w:pPr>
        <w:ind w:left="360"/>
        <w:jc w:val="center"/>
      </w:pPr>
      <w:r>
        <w:rPr>
          <w:noProof/>
          <w:lang w:eastAsia="ja-JP"/>
        </w:rPr>
        <w:drawing>
          <wp:inline distT="0" distB="0" distL="0" distR="0" wp14:anchorId="0F07A8EB" wp14:editId="57ECE1AB">
            <wp:extent cx="4527550" cy="1767001"/>
            <wp:effectExtent l="0" t="0" r="6350" b="5080"/>
            <wp:docPr id="9127512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t="354" b="-1"/>
                    <a:stretch/>
                  </pic:blipFill>
                  <pic:spPr bwMode="auto">
                    <a:xfrm>
                      <a:off x="0" y="0"/>
                      <a:ext cx="4583770" cy="1788942"/>
                    </a:xfrm>
                    <a:prstGeom prst="rect">
                      <a:avLst/>
                    </a:prstGeom>
                    <a:ln>
                      <a:noFill/>
                    </a:ln>
                    <a:extLst>
                      <a:ext uri="{53640926-AAD7-44D8-BBD7-CCE9431645EC}">
                        <a14:shadowObscured xmlns:a14="http://schemas.microsoft.com/office/drawing/2010/main"/>
                      </a:ext>
                    </a:extLst>
                  </pic:spPr>
                </pic:pic>
              </a:graphicData>
            </a:graphic>
          </wp:inline>
        </w:drawing>
      </w:r>
    </w:p>
    <w:p w14:paraId="33B4783E" w14:textId="78A588BB" w:rsidR="00301BD7" w:rsidRDefault="6406B28D" w:rsidP="00A0282B">
      <w:r>
        <w:lastRenderedPageBreak/>
        <w:t xml:space="preserve">Before proceeding, our team evaluated whether to interpret 7 or 15 principal components. As part of this process, we counted all variables that would be removed if </w:t>
      </w:r>
      <w:r w:rsidR="00EB7E57">
        <w:t>their</w:t>
      </w:r>
      <w:r>
        <w:t xml:space="preserve"> loading value</w:t>
      </w:r>
      <w:r w:rsidR="00EB7E57">
        <w:t>s</w:t>
      </w:r>
      <w:r>
        <w:t xml:space="preserve"> </w:t>
      </w:r>
      <w:r w:rsidR="00EB7E57">
        <w:t>are</w:t>
      </w:r>
      <w:r>
        <w:t xml:space="preserve"> not within a specified</w:t>
      </w:r>
      <w:r>
        <w:t xml:space="preserve"> </w:t>
      </w:r>
      <w:r>
        <w:t xml:space="preserve">range of the minimum or maximum value for </w:t>
      </w:r>
      <w:r w:rsidR="00A6398F">
        <w:t xml:space="preserve">each of </w:t>
      </w:r>
      <w:r w:rsidR="00813714">
        <w:t xml:space="preserve">the </w:t>
      </w:r>
      <w:r>
        <w:t xml:space="preserve">7 and 15 principal components.  As we lower the tolerances for </w:t>
      </w:r>
      <w:r w:rsidR="00813714">
        <w:t>retention</w:t>
      </w:r>
      <w:r w:rsidR="00542730">
        <w:t>, b</w:t>
      </w:r>
      <w:r w:rsidR="003731E2">
        <w:t>ased on</w:t>
      </w:r>
      <w:r>
        <w:t xml:space="preserve"> the </w:t>
      </w:r>
      <w:r w:rsidR="003731E2">
        <w:t xml:space="preserve">thresholds in </w:t>
      </w:r>
      <w:r w:rsidR="00034A97">
        <w:fldChar w:fldCharType="begin"/>
      </w:r>
      <w:r w:rsidR="00034A97">
        <w:instrText xml:space="preserve"> REF _Ref466724009 \h </w:instrText>
      </w:r>
      <w:r w:rsidR="00034A97">
        <w:fldChar w:fldCharType="separate"/>
      </w:r>
      <w:r w:rsidR="00CD7139">
        <w:t xml:space="preserve">Table </w:t>
      </w:r>
      <w:r w:rsidR="00CD7139">
        <w:rPr>
          <w:noProof/>
        </w:rPr>
        <w:t>5</w:t>
      </w:r>
      <w:r w:rsidR="00034A97">
        <w:fldChar w:fldCharType="end"/>
      </w:r>
      <w:r w:rsidR="003731E2">
        <w:t>, we identify how many variables are not associated with either 7 or 15 principal components</w:t>
      </w:r>
      <w:r>
        <w:t xml:space="preserve"> and </w:t>
      </w:r>
      <w:r w:rsidR="003731E2">
        <w:t xml:space="preserve">may be eliminated from further analysis. </w:t>
      </w:r>
      <w:r w:rsidR="00952474">
        <w:t>We notice that the drop off in removing explanatory variable</w:t>
      </w:r>
      <w:r w:rsidR="00A03405">
        <w:t>s</w:t>
      </w:r>
      <w:r w:rsidR="00952474">
        <w:t xml:space="preserve"> is more extreme with fifteen vs. seven principal components. Therefore, w</w:t>
      </w:r>
      <w:r w:rsidR="00301BD7">
        <w:t>e</w:t>
      </w:r>
      <w:r>
        <w:t xml:space="preserve"> recommended limiting our interpretation to seven principal components</w:t>
      </w:r>
      <w:r w:rsidR="00B3788C">
        <w:t xml:space="preserve"> and loading values that are within ten percent of the minimum and maximum loading values for a principal component</w:t>
      </w:r>
      <w:r>
        <w:t xml:space="preserve"> because of the drop off in variable removal with fifteen principal components per the table below</w:t>
      </w:r>
      <w:r w:rsidR="00A0282B">
        <w:t>. This notion corresponds with our discussion of R</w:t>
      </w:r>
      <w:r w:rsidR="00A0282B">
        <w:rPr>
          <w:vertAlign w:val="superscript"/>
        </w:rPr>
        <w:t>2</w:t>
      </w:r>
      <w:r w:rsidR="00A0282B">
        <w:t xml:space="preserve"> in our previous analysis sections</w:t>
      </w:r>
      <w:r w:rsidR="00FF4514">
        <w:t>.</w:t>
      </w:r>
    </w:p>
    <w:p w14:paraId="1626777C" w14:textId="034101B3" w:rsidR="00C47510" w:rsidRDefault="00C47510" w:rsidP="00C47510">
      <w:pPr>
        <w:pStyle w:val="Caption"/>
        <w:keepNext/>
        <w:jc w:val="center"/>
      </w:pPr>
      <w:bookmarkStart w:id="12" w:name="_Ref466730282"/>
      <w:r>
        <w:t xml:space="preserve">Table </w:t>
      </w:r>
      <w:r w:rsidR="00E87239" w:rsidRPr="6406B28D">
        <w:fldChar w:fldCharType="begin"/>
      </w:r>
      <w:r w:rsidR="00E87239">
        <w:instrText xml:space="preserve"> SEQ Table \* ARABIC </w:instrText>
      </w:r>
      <w:r w:rsidR="00E87239" w:rsidRPr="6406B28D">
        <w:fldChar w:fldCharType="separate"/>
      </w:r>
      <w:r w:rsidR="00CD7139">
        <w:rPr>
          <w:noProof/>
        </w:rPr>
        <w:t>6</w:t>
      </w:r>
      <w:r w:rsidR="00E87239" w:rsidRPr="6406B28D">
        <w:fldChar w:fldCharType="end"/>
      </w:r>
      <w:bookmarkEnd w:id="12"/>
      <w:r>
        <w:t>.  Observation that 15 Principal Components Retain Far More than 7 Principal Components</w:t>
      </w:r>
    </w:p>
    <w:p w14:paraId="2AC7FA2D" w14:textId="1502FDB5" w:rsidR="003C2CAF" w:rsidRPr="00B3788C" w:rsidRDefault="00301BD7" w:rsidP="6A5190A4">
      <w:r w:rsidRPr="00301BD7">
        <w:rPr>
          <w:noProof/>
          <w:lang w:eastAsia="ja-JP"/>
        </w:rPr>
        <w:drawing>
          <wp:inline distT="0" distB="0" distL="0" distR="0" wp14:anchorId="6489D1DE" wp14:editId="0A2602A3">
            <wp:extent cx="57404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897"/>
                    <a:stretch/>
                  </pic:blipFill>
                  <pic:spPr bwMode="auto">
                    <a:xfrm>
                      <a:off x="0" y="0"/>
                      <a:ext cx="5740400" cy="635000"/>
                    </a:xfrm>
                    <a:prstGeom prst="rect">
                      <a:avLst/>
                    </a:prstGeom>
                    <a:ln>
                      <a:noFill/>
                    </a:ln>
                    <a:extLst>
                      <a:ext uri="{53640926-AAD7-44D8-BBD7-CCE9431645EC}">
                        <a14:shadowObscured xmlns:a14="http://schemas.microsoft.com/office/drawing/2010/main"/>
                      </a:ext>
                    </a:extLst>
                  </pic:spPr>
                </pic:pic>
              </a:graphicData>
            </a:graphic>
          </wp:inline>
        </w:drawing>
      </w:r>
    </w:p>
    <w:p w14:paraId="18DB8C37" w14:textId="593B52D6" w:rsidR="003C2CAF" w:rsidRPr="00A0282B" w:rsidRDefault="6406B28D" w:rsidP="6406B28D">
      <w:r w:rsidRPr="00A0282B">
        <w:t xml:space="preserve">Based on </w:t>
      </w:r>
      <w:r w:rsidR="00925BCE" w:rsidRPr="00A0282B">
        <w:t>being</w:t>
      </w:r>
      <w:r w:rsidRPr="00A0282B">
        <w:t xml:space="preserve"> 10%</w:t>
      </w:r>
      <w:r>
        <w:t xml:space="preserve"> within the min</w:t>
      </w:r>
      <w:r w:rsidR="00A0282B">
        <w:t>/</w:t>
      </w:r>
      <w:r w:rsidRPr="00A0282B">
        <w:t xml:space="preserve">max </w:t>
      </w:r>
      <w:r w:rsidR="004108E0">
        <w:t>loading</w:t>
      </w:r>
      <w:r w:rsidR="00360ED8" w:rsidRPr="00A0282B">
        <w:t xml:space="preserve"> </w:t>
      </w:r>
      <w:r w:rsidRPr="00A0282B">
        <w:t>for each principal component</w:t>
      </w:r>
      <w:r w:rsidR="004763E4">
        <w:t>,</w:t>
      </w:r>
      <w:r w:rsidR="00360ED8" w:rsidRPr="00A0282B">
        <w:t xml:space="preserve"> </w:t>
      </w:r>
      <w:r w:rsidR="004763E4">
        <w:t>several</w:t>
      </w:r>
      <w:r w:rsidR="00360ED8" w:rsidRPr="00A0282B">
        <w:t xml:space="preserve"> variable</w:t>
      </w:r>
      <w:r w:rsidR="004763E4">
        <w:t>s</w:t>
      </w:r>
      <w:r w:rsidRPr="00A0282B">
        <w:t xml:space="preserve"> are identified as influencing each </w:t>
      </w:r>
      <w:r w:rsidR="004108E0">
        <w:t>component</w:t>
      </w:r>
      <w:r w:rsidR="004763E4">
        <w:t>. In lieu of describing each</w:t>
      </w:r>
      <w:r w:rsidRPr="00A0282B">
        <w:t xml:space="preserve"> component </w:t>
      </w:r>
      <w:r w:rsidR="004763E4">
        <w:t>in detail, we’ve chosen to summarize our findings via the following tables. Each</w:t>
      </w:r>
      <w:r w:rsidRPr="00A0282B">
        <w:t xml:space="preserve"> table </w:t>
      </w:r>
      <w:r w:rsidR="004763E4">
        <w:t xml:space="preserve">represents a principal component and a </w:t>
      </w:r>
      <w:proofErr w:type="gramStart"/>
      <w:r w:rsidR="004763E4">
        <w:t>brief summary</w:t>
      </w:r>
      <w:proofErr w:type="gramEnd"/>
      <w:r w:rsidR="004763E4">
        <w:t xml:space="preserve"> is provided describing the underlying factor we believe the principal component is describing. As mentioned previously, our intent is to extract only the most impactful variables for application during </w:t>
      </w:r>
      <w:r w:rsidR="004108E0">
        <w:t xml:space="preserve">a future </w:t>
      </w:r>
      <w:r w:rsidR="004763E4">
        <w:t>MLR.</w:t>
      </w:r>
      <w:r w:rsidR="3A2A45E1">
        <w:t xml:space="preserve"> Therefore, only the variables within 10% of min/max loadings are shown.</w:t>
      </w:r>
    </w:p>
    <w:p w14:paraId="325E88FC" w14:textId="7B80243C" w:rsidR="00CE5E15" w:rsidRDefault="1E23FE13">
      <w:pPr>
        <w:rPr>
          <w:rFonts w:ascii="Calibri" w:eastAsia="Calibri" w:hAnsi="Calibri" w:cs="Calibri"/>
          <w:i/>
          <w:iCs/>
        </w:rPr>
      </w:pPr>
      <w:r w:rsidRPr="1E23FE13">
        <w:rPr>
          <w:rFonts w:ascii="Calibri" w:eastAsia="Calibri" w:hAnsi="Calibri" w:cs="Calibri"/>
          <w:i/>
          <w:iCs/>
        </w:rPr>
        <w:t xml:space="preserve">Principal Component #1 – </w:t>
      </w:r>
      <w:r w:rsidR="00DC50FF">
        <w:rPr>
          <w:rFonts w:ascii="Calibri" w:eastAsia="Calibri" w:hAnsi="Calibri" w:cs="Calibri"/>
          <w:i/>
          <w:iCs/>
        </w:rPr>
        <w:t>variable loadings are focused on a lack of education, family structure, income, and residence</w:t>
      </w:r>
      <w:r w:rsidRPr="1E23FE13">
        <w:rPr>
          <w:rFonts w:ascii="Calibri" w:eastAsia="Calibri" w:hAnsi="Calibri" w:cs="Calibri"/>
          <w:i/>
          <w:iCs/>
        </w:rPr>
        <w:t xml:space="preserve"> </w:t>
      </w:r>
      <w:r w:rsidR="002760C2" w:rsidRPr="002760C2">
        <w:rPr>
          <w:rFonts w:ascii="Calibri" w:eastAsia="Calibri" w:hAnsi="Calibri" w:cs="Calibri"/>
          <w:i/>
          <w:iCs/>
          <w:noProof/>
          <w:lang w:eastAsia="ja-JP"/>
        </w:rPr>
        <w:drawing>
          <wp:inline distT="0" distB="0" distL="0" distR="0" wp14:anchorId="2571E3EB" wp14:editId="174669A0">
            <wp:extent cx="5943600" cy="1960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0880"/>
                    </a:xfrm>
                    <a:prstGeom prst="rect">
                      <a:avLst/>
                    </a:prstGeom>
                  </pic:spPr>
                </pic:pic>
              </a:graphicData>
            </a:graphic>
          </wp:inline>
        </w:drawing>
      </w:r>
    </w:p>
    <w:p w14:paraId="6F2A4E9F" w14:textId="08AEBB92" w:rsidR="00A45E07" w:rsidRDefault="00DC50FF" w:rsidP="002760C2">
      <w:pPr>
        <w:rPr>
          <w:rFonts w:ascii="Calibri" w:eastAsia="Calibri" w:hAnsi="Calibri" w:cs="Calibri"/>
          <w:i/>
          <w:iCs/>
        </w:rPr>
      </w:pPr>
      <w:r>
        <w:rPr>
          <w:rFonts w:ascii="Calibri" w:eastAsia="Calibri" w:hAnsi="Calibri" w:cs="Calibri"/>
          <w:i/>
          <w:iCs/>
        </w:rPr>
        <w:lastRenderedPageBreak/>
        <w:t>Principal Component #2</w:t>
      </w:r>
      <w:r w:rsidRPr="1E23FE13">
        <w:rPr>
          <w:rFonts w:ascii="Calibri" w:eastAsia="Calibri" w:hAnsi="Calibri" w:cs="Calibri"/>
          <w:i/>
          <w:iCs/>
        </w:rPr>
        <w:t xml:space="preserve"> – </w:t>
      </w:r>
      <w:r>
        <w:rPr>
          <w:rFonts w:ascii="Calibri" w:eastAsia="Calibri" w:hAnsi="Calibri" w:cs="Calibri"/>
          <w:i/>
          <w:iCs/>
        </w:rPr>
        <w:t>variable loadings are focused on immigration, age, and race(Asian)</w:t>
      </w:r>
    </w:p>
    <w:p w14:paraId="19BA7E91" w14:textId="5BEAA3B4" w:rsidR="00DC50FF" w:rsidRDefault="00DC50FF" w:rsidP="002760C2">
      <w:r w:rsidRPr="00DC50FF">
        <w:rPr>
          <w:noProof/>
          <w:lang w:eastAsia="ja-JP"/>
        </w:rPr>
        <w:drawing>
          <wp:inline distT="0" distB="0" distL="0" distR="0" wp14:anchorId="72505940" wp14:editId="46C9C838">
            <wp:extent cx="5943600" cy="1315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5720"/>
                    </a:xfrm>
                    <a:prstGeom prst="rect">
                      <a:avLst/>
                    </a:prstGeom>
                  </pic:spPr>
                </pic:pic>
              </a:graphicData>
            </a:graphic>
          </wp:inline>
        </w:drawing>
      </w:r>
    </w:p>
    <w:p w14:paraId="4612D7B9" w14:textId="39092E67" w:rsidR="00DC50FF" w:rsidRDefault="00040A0E" w:rsidP="002760C2">
      <w:r>
        <w:rPr>
          <w:rFonts w:ascii="Calibri" w:eastAsia="Calibri" w:hAnsi="Calibri" w:cs="Calibri"/>
          <w:i/>
          <w:iCs/>
        </w:rPr>
        <w:t>Principal Component #3</w:t>
      </w:r>
      <w:r w:rsidRPr="1E23FE13">
        <w:rPr>
          <w:rFonts w:ascii="Calibri" w:eastAsia="Calibri" w:hAnsi="Calibri" w:cs="Calibri"/>
          <w:i/>
          <w:iCs/>
        </w:rPr>
        <w:t xml:space="preserve"> – </w:t>
      </w:r>
      <w:r>
        <w:rPr>
          <w:rFonts w:ascii="Calibri" w:eastAsia="Calibri" w:hAnsi="Calibri" w:cs="Calibri"/>
          <w:i/>
          <w:iCs/>
        </w:rPr>
        <w:t xml:space="preserve">variable loadings are focused on </w:t>
      </w:r>
      <w:r w:rsidR="00C147EC">
        <w:rPr>
          <w:rFonts w:ascii="Calibri" w:eastAsia="Calibri" w:hAnsi="Calibri" w:cs="Calibri"/>
          <w:i/>
          <w:iCs/>
        </w:rPr>
        <w:t xml:space="preserve">increase based on </w:t>
      </w:r>
      <w:r>
        <w:rPr>
          <w:rFonts w:ascii="Calibri" w:eastAsia="Calibri" w:hAnsi="Calibri" w:cs="Calibri"/>
          <w:i/>
          <w:iCs/>
        </w:rPr>
        <w:t>family structure</w:t>
      </w:r>
      <w:r w:rsidR="00C147EC">
        <w:rPr>
          <w:rFonts w:ascii="Calibri" w:eastAsia="Calibri" w:hAnsi="Calibri" w:cs="Calibri"/>
          <w:i/>
          <w:iCs/>
        </w:rPr>
        <w:t xml:space="preserve"> and decreas</w:t>
      </w:r>
      <w:r w:rsidR="00AE5D62">
        <w:rPr>
          <w:rFonts w:ascii="Calibri" w:eastAsia="Calibri" w:hAnsi="Calibri" w:cs="Calibri"/>
          <w:i/>
          <w:iCs/>
        </w:rPr>
        <w:t>ing</w:t>
      </w:r>
      <w:r w:rsidR="00C147EC">
        <w:rPr>
          <w:rFonts w:ascii="Calibri" w:eastAsia="Calibri" w:hAnsi="Calibri" w:cs="Calibri"/>
          <w:i/>
          <w:iCs/>
        </w:rPr>
        <w:t xml:space="preserve"> based on vocation, residence and education</w:t>
      </w:r>
    </w:p>
    <w:p w14:paraId="7207C915" w14:textId="50F5AE57" w:rsidR="1E23FE13" w:rsidRDefault="00907E5C" w:rsidP="008D7B46">
      <w:r w:rsidRPr="00907E5C">
        <w:rPr>
          <w:noProof/>
          <w:lang w:eastAsia="ja-JP"/>
        </w:rPr>
        <w:drawing>
          <wp:inline distT="0" distB="0" distL="0" distR="0" wp14:anchorId="7C2E1B8A" wp14:editId="3286E388">
            <wp:extent cx="5943600"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3480"/>
                    </a:xfrm>
                    <a:prstGeom prst="rect">
                      <a:avLst/>
                    </a:prstGeom>
                  </pic:spPr>
                </pic:pic>
              </a:graphicData>
            </a:graphic>
          </wp:inline>
        </w:drawing>
      </w:r>
    </w:p>
    <w:p w14:paraId="0CE89EA5" w14:textId="24429E28" w:rsidR="00526190" w:rsidRPr="00E12171" w:rsidRDefault="00AE5D62" w:rsidP="00AE5D62">
      <w:pPr>
        <w:rPr>
          <w:i/>
        </w:rPr>
      </w:pPr>
      <w:r w:rsidRPr="00E12171">
        <w:rPr>
          <w:i/>
        </w:rPr>
        <w:t>Principal Component #4 – variable loadings are focused on age and negatively on residency duration</w:t>
      </w:r>
    </w:p>
    <w:p w14:paraId="3045F212" w14:textId="728F2FCB" w:rsidR="00AE5D62" w:rsidRDefault="00AE5D62" w:rsidP="00AE5D62">
      <w:r w:rsidRPr="00AE5D62">
        <w:rPr>
          <w:noProof/>
          <w:lang w:eastAsia="ja-JP"/>
        </w:rPr>
        <w:drawing>
          <wp:inline distT="0" distB="0" distL="0" distR="0" wp14:anchorId="7A2966F8" wp14:editId="56AE3C19">
            <wp:extent cx="5943600" cy="10541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4100"/>
                    </a:xfrm>
                    <a:prstGeom prst="rect">
                      <a:avLst/>
                    </a:prstGeom>
                  </pic:spPr>
                </pic:pic>
              </a:graphicData>
            </a:graphic>
          </wp:inline>
        </w:drawing>
      </w:r>
    </w:p>
    <w:p w14:paraId="3DA1BF4E" w14:textId="4F0AD0A5" w:rsidR="00040A0E" w:rsidRPr="007C4D2E" w:rsidRDefault="00AE5D62" w:rsidP="00AE5D62">
      <w:pPr>
        <w:rPr>
          <w:i/>
        </w:rPr>
      </w:pPr>
      <w:r w:rsidRPr="007C4D2E">
        <w:rPr>
          <w:i/>
        </w:rPr>
        <w:t xml:space="preserve">Principal component #5 </w:t>
      </w:r>
      <w:r w:rsidR="000D4CD5" w:rsidRPr="007C4D2E">
        <w:rPr>
          <w:i/>
        </w:rPr>
        <w:t>–</w:t>
      </w:r>
      <w:r w:rsidRPr="007C4D2E">
        <w:rPr>
          <w:i/>
        </w:rPr>
        <w:t xml:space="preserve"> </w:t>
      </w:r>
      <w:r w:rsidR="000D4CD5" w:rsidRPr="007C4D2E">
        <w:rPr>
          <w:i/>
        </w:rPr>
        <w:t>variable loadings are negatively related to marital status and positive related to vocation</w:t>
      </w:r>
    </w:p>
    <w:p w14:paraId="766A22A1" w14:textId="20FA1395" w:rsidR="000D4CD5" w:rsidRDefault="000D4CD5" w:rsidP="00AE5D62">
      <w:r w:rsidRPr="000D4CD5">
        <w:rPr>
          <w:noProof/>
          <w:lang w:eastAsia="ja-JP"/>
        </w:rPr>
        <w:drawing>
          <wp:inline distT="0" distB="0" distL="0" distR="0" wp14:anchorId="37E661B3" wp14:editId="35F7E4A9">
            <wp:extent cx="5943600" cy="9271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7100"/>
                    </a:xfrm>
                    <a:prstGeom prst="rect">
                      <a:avLst/>
                    </a:prstGeom>
                  </pic:spPr>
                </pic:pic>
              </a:graphicData>
            </a:graphic>
          </wp:inline>
        </w:drawing>
      </w:r>
    </w:p>
    <w:p w14:paraId="020BFD1E" w14:textId="5D57CFBF" w:rsidR="000D4CD5" w:rsidRPr="007C4D2E" w:rsidRDefault="000D4CD5" w:rsidP="00AE5D62">
      <w:pPr>
        <w:rPr>
          <w:i/>
        </w:rPr>
      </w:pPr>
      <w:r w:rsidRPr="007C4D2E">
        <w:rPr>
          <w:i/>
        </w:rPr>
        <w:t xml:space="preserve">Principal component #6 </w:t>
      </w:r>
      <w:r w:rsidR="004538A6" w:rsidRPr="007C4D2E">
        <w:rPr>
          <w:i/>
        </w:rPr>
        <w:t>–</w:t>
      </w:r>
      <w:r w:rsidRPr="007C4D2E">
        <w:rPr>
          <w:i/>
        </w:rPr>
        <w:t xml:space="preserve"> </w:t>
      </w:r>
      <w:r w:rsidR="004538A6" w:rsidRPr="007C4D2E">
        <w:rPr>
          <w:i/>
        </w:rPr>
        <w:t>variable loadings are positively related to race, and related to residency</w:t>
      </w:r>
    </w:p>
    <w:p w14:paraId="03596971" w14:textId="50A81784" w:rsidR="00632A87" w:rsidRPr="00585839" w:rsidRDefault="004538A6">
      <w:r w:rsidRPr="004538A6">
        <w:rPr>
          <w:noProof/>
          <w:lang w:eastAsia="ja-JP"/>
        </w:rPr>
        <w:drawing>
          <wp:inline distT="0" distB="0" distL="0" distR="0" wp14:anchorId="25DE7984" wp14:editId="62E8869B">
            <wp:extent cx="5943600" cy="1045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5845"/>
                    </a:xfrm>
                    <a:prstGeom prst="rect">
                      <a:avLst/>
                    </a:prstGeom>
                  </pic:spPr>
                </pic:pic>
              </a:graphicData>
            </a:graphic>
          </wp:inline>
        </w:drawing>
      </w:r>
    </w:p>
    <w:p w14:paraId="7F7419C4" w14:textId="4AB45623" w:rsidR="004538A6" w:rsidRPr="007C4D2E" w:rsidRDefault="004538A6" w:rsidP="004538A6">
      <w:pPr>
        <w:rPr>
          <w:i/>
        </w:rPr>
      </w:pPr>
      <w:r w:rsidRPr="007C4D2E">
        <w:rPr>
          <w:i/>
        </w:rPr>
        <w:lastRenderedPageBreak/>
        <w:t>Principal component #7 – variable loading</w:t>
      </w:r>
      <w:r w:rsidR="00957B36" w:rsidRPr="007C4D2E">
        <w:rPr>
          <w:i/>
        </w:rPr>
        <w:t>s are</w:t>
      </w:r>
      <w:r w:rsidR="009B40F1" w:rsidRPr="007C4D2E">
        <w:rPr>
          <w:i/>
        </w:rPr>
        <w:t xml:space="preserve"> negatively associated with vocation and positively associated with residence</w:t>
      </w:r>
    </w:p>
    <w:p w14:paraId="71CF9F8B" w14:textId="606FA7FB" w:rsidR="001E72C5" w:rsidRDefault="009B40F1" w:rsidP="004538A6">
      <w:r w:rsidRPr="009B40F1">
        <w:rPr>
          <w:noProof/>
          <w:lang w:eastAsia="ja-JP"/>
        </w:rPr>
        <w:drawing>
          <wp:inline distT="0" distB="0" distL="0" distR="0" wp14:anchorId="368C26D2" wp14:editId="06625737">
            <wp:extent cx="5943600" cy="662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2940"/>
                    </a:xfrm>
                    <a:prstGeom prst="rect">
                      <a:avLst/>
                    </a:prstGeom>
                  </pic:spPr>
                </pic:pic>
              </a:graphicData>
            </a:graphic>
          </wp:inline>
        </w:drawing>
      </w:r>
    </w:p>
    <w:p w14:paraId="2F1637D3" w14:textId="77777777" w:rsidR="00585839" w:rsidRDefault="00585839" w:rsidP="6406B28D">
      <w:pPr>
        <w:rPr>
          <w:u w:val="single"/>
        </w:rPr>
      </w:pPr>
    </w:p>
    <w:p w14:paraId="742C6793" w14:textId="2216FE12" w:rsidR="003B7246" w:rsidRPr="003B7246" w:rsidRDefault="6406B28D" w:rsidP="6406B28D">
      <w:pPr>
        <w:rPr>
          <w:u w:val="single"/>
        </w:rPr>
      </w:pPr>
      <w:r w:rsidRPr="6406B28D">
        <w:rPr>
          <w:u w:val="single"/>
        </w:rPr>
        <w:t>PCR Interpretation and Conclusion:</w:t>
      </w:r>
    </w:p>
    <w:p w14:paraId="5ED77FE1" w14:textId="5282F191" w:rsidR="00B45F57" w:rsidRDefault="006263EB">
      <w:r>
        <w:t xml:space="preserve">The </w:t>
      </w:r>
      <w:r w:rsidR="00583947">
        <w:t xml:space="preserve">overall </w:t>
      </w:r>
      <w:r>
        <w:t>resu</w:t>
      </w:r>
      <w:r w:rsidR="00583947">
        <w:t>l</w:t>
      </w:r>
      <w:r>
        <w:t>ts of testing our dataset against the PCR mode</w:t>
      </w:r>
      <w:r w:rsidR="00583947">
        <w:t xml:space="preserve">l </w:t>
      </w:r>
      <w:r w:rsidR="007E472B">
        <w:t xml:space="preserve">utilizing the first 7 and </w:t>
      </w:r>
      <w:r w:rsidR="007F0C22">
        <w:t xml:space="preserve">first </w:t>
      </w:r>
      <w:r w:rsidR="007E472B">
        <w:t xml:space="preserve">15 principal components </w:t>
      </w:r>
      <w:r w:rsidR="00583947">
        <w:t xml:space="preserve">can be seen in </w:t>
      </w:r>
      <w:r w:rsidR="00224218">
        <w:fldChar w:fldCharType="begin"/>
      </w:r>
      <w:r w:rsidR="00224218">
        <w:instrText xml:space="preserve"> REF _Ref466159972 \h </w:instrText>
      </w:r>
      <w:r w:rsidR="00224218">
        <w:fldChar w:fldCharType="separate"/>
      </w:r>
      <w:r w:rsidR="00CD7139">
        <w:t xml:space="preserve">Figure </w:t>
      </w:r>
      <w:r w:rsidR="00CD7139">
        <w:rPr>
          <w:noProof/>
        </w:rPr>
        <w:t>3</w:t>
      </w:r>
      <w:r w:rsidR="00224218">
        <w:fldChar w:fldCharType="end"/>
      </w:r>
      <w:r w:rsidR="006F602B">
        <w:t xml:space="preserve">; in this figure, we can see the measured values are very close to the </w:t>
      </w:r>
      <w:r w:rsidR="00E122C9">
        <w:t>values predicted by the PCR model</w:t>
      </w:r>
      <w:r w:rsidR="00740C4D">
        <w:t xml:space="preserve"> for both the first 7 and </w:t>
      </w:r>
      <w:r w:rsidR="007F0C22">
        <w:t>first</w:t>
      </w:r>
      <w:r w:rsidR="00740C4D">
        <w:t xml:space="preserve"> 15 principal components</w:t>
      </w:r>
      <w:r w:rsidR="00583947">
        <w:t>.</w:t>
      </w:r>
      <w:r w:rsidR="006F602B">
        <w:t xml:space="preserve"> </w:t>
      </w:r>
      <w:r w:rsidR="00D506FC">
        <w:t>A few</w:t>
      </w:r>
      <w:r w:rsidR="00E122C9">
        <w:t xml:space="preserve"> individual results i</w:t>
      </w:r>
      <w:r w:rsidR="003C2465">
        <w:t>n testing our dataset against the PCR model</w:t>
      </w:r>
      <w:r w:rsidR="00D506FC">
        <w:t xml:space="preserve"> can be</w:t>
      </w:r>
      <w:r w:rsidR="007D3185">
        <w:t xml:space="preserve"> seen in</w:t>
      </w:r>
      <w:r w:rsidR="005746BC">
        <w:t xml:space="preserve"> </w:t>
      </w:r>
      <w:r w:rsidR="0077381D">
        <w:fldChar w:fldCharType="begin"/>
      </w:r>
      <w:r w:rsidR="0077381D">
        <w:instrText xml:space="preserve"> REF _Ref466724691 \h </w:instrText>
      </w:r>
      <w:r w:rsidR="0077381D">
        <w:fldChar w:fldCharType="separate"/>
      </w:r>
      <w:r w:rsidR="00CD7139">
        <w:t xml:space="preserve">Table </w:t>
      </w:r>
      <w:r w:rsidR="00CD7139">
        <w:rPr>
          <w:noProof/>
        </w:rPr>
        <w:t>7</w:t>
      </w:r>
      <w:r w:rsidR="0077381D">
        <w:fldChar w:fldCharType="end"/>
      </w:r>
      <w:r w:rsidR="008C2072">
        <w:t>.</w:t>
      </w:r>
    </w:p>
    <w:p w14:paraId="318E80DB" w14:textId="71584C4C" w:rsidR="00B45F57" w:rsidRDefault="00B45F57" w:rsidP="00B45F57">
      <w:pPr>
        <w:pStyle w:val="Caption"/>
        <w:keepNext/>
        <w:jc w:val="center"/>
      </w:pPr>
      <w:bookmarkStart w:id="13" w:name="_Ref466724691"/>
      <w:bookmarkStart w:id="14" w:name="_Ref466703625"/>
      <w:r>
        <w:t xml:space="preserve">Table </w:t>
      </w:r>
      <w:r w:rsidRPr="1E23FE13">
        <w:fldChar w:fldCharType="begin"/>
      </w:r>
      <w:r>
        <w:instrText xml:space="preserve"> SEQ Table \* ARABIC </w:instrText>
      </w:r>
      <w:r w:rsidRPr="1E23FE13">
        <w:fldChar w:fldCharType="separate"/>
      </w:r>
      <w:r w:rsidR="00CD7139">
        <w:rPr>
          <w:noProof/>
        </w:rPr>
        <w:t>7</w:t>
      </w:r>
      <w:r w:rsidRPr="1E23FE13">
        <w:fldChar w:fldCharType="end"/>
      </w:r>
      <w:bookmarkEnd w:id="13"/>
      <w:r>
        <w:t>.  Test Data Community Violent Crime Per Population</w:t>
      </w:r>
      <w:bookmarkEnd w:id="14"/>
    </w:p>
    <w:p w14:paraId="20387934" w14:textId="0AC0D631" w:rsidR="00B45F57" w:rsidRDefault="00B45F57" w:rsidP="00B45F57">
      <w:pPr>
        <w:jc w:val="center"/>
      </w:pPr>
      <w:r w:rsidRPr="00A0282B">
        <w:rPr>
          <w:noProof/>
          <w:lang w:eastAsia="ja-JP"/>
        </w:rPr>
        <w:drawing>
          <wp:inline distT="0" distB="0" distL="0" distR="0" wp14:anchorId="5C7DFBFF" wp14:editId="683950EF">
            <wp:extent cx="3568700" cy="1346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8700" cy="1346200"/>
                    </a:xfrm>
                    <a:prstGeom prst="rect">
                      <a:avLst/>
                    </a:prstGeom>
                    <a:noFill/>
                    <a:ln>
                      <a:noFill/>
                    </a:ln>
                  </pic:spPr>
                </pic:pic>
              </a:graphicData>
            </a:graphic>
          </wp:inline>
        </w:drawing>
      </w:r>
    </w:p>
    <w:p w14:paraId="3C98EC4B" w14:textId="6444FC04" w:rsidR="009C42A4" w:rsidRDefault="00B45F57">
      <w:r>
        <w:t>I</w:t>
      </w:r>
      <w:r w:rsidR="00A12D5D">
        <w:t xml:space="preserve">n this table, we see </w:t>
      </w:r>
      <w:r w:rsidR="003C2465">
        <w:t xml:space="preserve">the </w:t>
      </w:r>
      <w:r w:rsidR="00743374">
        <w:t xml:space="preserve">predicted violent crimes per population </w:t>
      </w:r>
      <w:r w:rsidR="00F66EA9">
        <w:t>for both the</w:t>
      </w:r>
      <w:r w:rsidR="00743374">
        <w:t xml:space="preserve"> </w:t>
      </w:r>
      <w:r w:rsidR="003C2465">
        <w:t>first 7 and the first 15 principal components are very close to the</w:t>
      </w:r>
      <w:r w:rsidR="00743374">
        <w:t xml:space="preserve"> actual </w:t>
      </w:r>
      <w:r w:rsidR="0094331E">
        <w:t>violent crime rate per population for observations 1, 4, 6, 7, and 8</w:t>
      </w:r>
      <w:r w:rsidR="003C2465">
        <w:t xml:space="preserve">. </w:t>
      </w:r>
      <w:r w:rsidR="00B5344A">
        <w:t>With these results</w:t>
      </w:r>
      <w:r w:rsidR="003C2465">
        <w:t xml:space="preserve">, we </w:t>
      </w:r>
      <w:r w:rsidR="00B5344A">
        <w:t>conclude</w:t>
      </w:r>
      <w:r w:rsidR="003C2465">
        <w:t xml:space="preserve"> that this model is a good fit.</w:t>
      </w:r>
      <w:r w:rsidR="0072251D">
        <w:t xml:space="preserve"> </w:t>
      </w:r>
      <w:r w:rsidR="009C42A4">
        <w:t xml:space="preserve">For further testing using a multiple linear regression model, we determined </w:t>
      </w:r>
      <w:r w:rsidR="007F7B7F">
        <w:t xml:space="preserve">through the principal component loadings </w:t>
      </w:r>
      <w:r w:rsidR="009C42A4">
        <w:t>that the variables to be included in the model will include the following:</w:t>
      </w:r>
    </w:p>
    <w:p w14:paraId="3DC746F0" w14:textId="582DA0BA" w:rsidR="00141732" w:rsidRDefault="6406B28D" w:rsidP="00D50B36">
      <w:proofErr w:type="spellStart"/>
      <w:r w:rsidRPr="00F66EA9">
        <w:rPr>
          <w:i/>
        </w:rPr>
        <w:t>pctWInvInc</w:t>
      </w:r>
      <w:proofErr w:type="spellEnd"/>
      <w:r w:rsidRPr="00F66EA9">
        <w:rPr>
          <w:i/>
        </w:rPr>
        <w:t xml:space="preserve">, </w:t>
      </w:r>
      <w:proofErr w:type="spellStart"/>
      <w:r w:rsidRPr="00F66EA9">
        <w:rPr>
          <w:i/>
        </w:rPr>
        <w:t>pctWPubAsst</w:t>
      </w:r>
      <w:proofErr w:type="spellEnd"/>
      <w:r w:rsidRPr="00F66EA9">
        <w:rPr>
          <w:i/>
        </w:rPr>
        <w:t xml:space="preserve">, </w:t>
      </w:r>
      <w:proofErr w:type="spellStart"/>
      <w:r w:rsidRPr="00F66EA9">
        <w:rPr>
          <w:i/>
        </w:rPr>
        <w:t>medFamInc</w:t>
      </w:r>
      <w:proofErr w:type="spellEnd"/>
      <w:r w:rsidRPr="00F66EA9">
        <w:rPr>
          <w:i/>
        </w:rPr>
        <w:t xml:space="preserve">, </w:t>
      </w:r>
      <w:proofErr w:type="spellStart"/>
      <w:r w:rsidRPr="00F66EA9">
        <w:rPr>
          <w:i/>
        </w:rPr>
        <w:t>PctPopUnderPov</w:t>
      </w:r>
      <w:proofErr w:type="spellEnd"/>
      <w:r w:rsidRPr="00F66EA9">
        <w:rPr>
          <w:i/>
        </w:rPr>
        <w:t xml:space="preserve">, PctFam2Par, PctKids2Par, PctYoungKids2Par, </w:t>
      </w:r>
      <w:proofErr w:type="spellStart"/>
      <w:r w:rsidRPr="00F66EA9">
        <w:rPr>
          <w:i/>
        </w:rPr>
        <w:t>PctIlleg</w:t>
      </w:r>
      <w:proofErr w:type="spellEnd"/>
      <w:r w:rsidRPr="00F66EA9">
        <w:rPr>
          <w:i/>
        </w:rPr>
        <w:t xml:space="preserve">, </w:t>
      </w:r>
      <w:proofErr w:type="spellStart"/>
      <w:r w:rsidRPr="00F66EA9">
        <w:rPr>
          <w:i/>
        </w:rPr>
        <w:t>PctHousNoPhone</w:t>
      </w:r>
      <w:proofErr w:type="spellEnd"/>
      <w:r w:rsidRPr="00F66EA9">
        <w:rPr>
          <w:i/>
        </w:rPr>
        <w:t xml:space="preserve">, </w:t>
      </w:r>
      <w:proofErr w:type="spellStart"/>
      <w:r w:rsidRPr="00F66EA9">
        <w:rPr>
          <w:i/>
        </w:rPr>
        <w:t>PctRecentImmig</w:t>
      </w:r>
      <w:proofErr w:type="spellEnd"/>
      <w:r w:rsidRPr="00F66EA9">
        <w:rPr>
          <w:i/>
        </w:rPr>
        <w:t xml:space="preserve">, PctRecImmig5, PctRecImmig8, PctRecImmig10,  </w:t>
      </w:r>
      <w:proofErr w:type="spellStart"/>
      <w:r w:rsidRPr="00F66EA9">
        <w:rPr>
          <w:i/>
        </w:rPr>
        <w:t>PctForeignBorn</w:t>
      </w:r>
      <w:proofErr w:type="spellEnd"/>
      <w:r w:rsidRPr="00F66EA9">
        <w:rPr>
          <w:i/>
        </w:rPr>
        <w:t xml:space="preserve">, </w:t>
      </w:r>
      <w:proofErr w:type="spellStart"/>
      <w:r w:rsidRPr="00F66EA9">
        <w:rPr>
          <w:i/>
        </w:rPr>
        <w:t>PersPerFam</w:t>
      </w:r>
      <w:proofErr w:type="spellEnd"/>
      <w:r w:rsidRPr="00F66EA9">
        <w:rPr>
          <w:i/>
        </w:rPr>
        <w:t xml:space="preserve">, </w:t>
      </w:r>
      <w:proofErr w:type="spellStart"/>
      <w:r w:rsidRPr="00F66EA9">
        <w:rPr>
          <w:i/>
        </w:rPr>
        <w:t>PersPerOwnOccHous</w:t>
      </w:r>
      <w:proofErr w:type="spellEnd"/>
      <w:r w:rsidRPr="00F66EA9">
        <w:rPr>
          <w:i/>
        </w:rPr>
        <w:t xml:space="preserve">, </w:t>
      </w:r>
      <w:proofErr w:type="spellStart"/>
      <w:r w:rsidRPr="00F66EA9">
        <w:rPr>
          <w:i/>
        </w:rPr>
        <w:t>MedYrHousBuilt</w:t>
      </w:r>
      <w:proofErr w:type="spellEnd"/>
      <w:r w:rsidRPr="00F66EA9">
        <w:rPr>
          <w:i/>
        </w:rPr>
        <w:t xml:space="preserve">, PctSameCity85, agePct12t21, agePct16t24, agePct12t29, </w:t>
      </w:r>
      <w:proofErr w:type="spellStart"/>
      <w:r w:rsidRPr="00F66EA9">
        <w:rPr>
          <w:i/>
        </w:rPr>
        <w:t>PctEmplProfServ</w:t>
      </w:r>
      <w:proofErr w:type="spellEnd"/>
      <w:r w:rsidRPr="00F66EA9">
        <w:rPr>
          <w:i/>
        </w:rPr>
        <w:t xml:space="preserve">, </w:t>
      </w:r>
      <w:proofErr w:type="spellStart"/>
      <w:r w:rsidRPr="00F66EA9">
        <w:rPr>
          <w:i/>
        </w:rPr>
        <w:t>MalePctDivorce</w:t>
      </w:r>
      <w:proofErr w:type="spellEnd"/>
      <w:r w:rsidRPr="00F66EA9">
        <w:rPr>
          <w:i/>
        </w:rPr>
        <w:t xml:space="preserve">, </w:t>
      </w:r>
      <w:proofErr w:type="spellStart"/>
      <w:r w:rsidRPr="00F66EA9">
        <w:rPr>
          <w:i/>
        </w:rPr>
        <w:t>FemalePctDiv</w:t>
      </w:r>
      <w:proofErr w:type="spellEnd"/>
      <w:r w:rsidRPr="00F66EA9">
        <w:rPr>
          <w:i/>
        </w:rPr>
        <w:t xml:space="preserve">, </w:t>
      </w:r>
      <w:proofErr w:type="spellStart"/>
      <w:r w:rsidRPr="00F66EA9">
        <w:rPr>
          <w:i/>
        </w:rPr>
        <w:t>TotalPctDiv</w:t>
      </w:r>
      <w:proofErr w:type="spellEnd"/>
      <w:r w:rsidRPr="00F66EA9">
        <w:rPr>
          <w:i/>
        </w:rPr>
        <w:t xml:space="preserve">, </w:t>
      </w:r>
      <w:proofErr w:type="spellStart"/>
      <w:r w:rsidRPr="00F66EA9">
        <w:rPr>
          <w:i/>
        </w:rPr>
        <w:t>racepctblack</w:t>
      </w:r>
      <w:proofErr w:type="spellEnd"/>
      <w:r w:rsidRPr="00F66EA9">
        <w:rPr>
          <w:i/>
        </w:rPr>
        <w:t xml:space="preserve">, agePct65up, </w:t>
      </w:r>
      <w:proofErr w:type="spellStart"/>
      <w:r w:rsidRPr="00F66EA9">
        <w:rPr>
          <w:i/>
        </w:rPr>
        <w:t>PctBornSameState</w:t>
      </w:r>
      <w:proofErr w:type="spellEnd"/>
      <w:r w:rsidRPr="00F66EA9">
        <w:rPr>
          <w:i/>
        </w:rPr>
        <w:t xml:space="preserve">, PctSameHouse85, </w:t>
      </w:r>
      <w:proofErr w:type="spellStart"/>
      <w:r w:rsidRPr="00F66EA9">
        <w:rPr>
          <w:i/>
        </w:rPr>
        <w:t>PctUsePubTrans</w:t>
      </w:r>
      <w:proofErr w:type="spellEnd"/>
      <w:r w:rsidRPr="00F66EA9">
        <w:rPr>
          <w:i/>
        </w:rPr>
        <w:t xml:space="preserve">, </w:t>
      </w:r>
      <w:proofErr w:type="spellStart"/>
      <w:r w:rsidRPr="00F66EA9">
        <w:rPr>
          <w:i/>
        </w:rPr>
        <w:t>PctEmplManu</w:t>
      </w:r>
      <w:proofErr w:type="spellEnd"/>
      <w:r w:rsidRPr="00F66EA9">
        <w:rPr>
          <w:i/>
        </w:rPr>
        <w:t xml:space="preserve">, </w:t>
      </w:r>
      <w:proofErr w:type="spellStart"/>
      <w:r w:rsidRPr="00F66EA9">
        <w:rPr>
          <w:i/>
        </w:rPr>
        <w:t>LandArea</w:t>
      </w:r>
      <w:proofErr w:type="spellEnd"/>
      <w:r w:rsidRPr="00F66EA9">
        <w:rPr>
          <w:i/>
        </w:rPr>
        <w:t xml:space="preserve">, </w:t>
      </w:r>
      <w:proofErr w:type="spellStart"/>
      <w:r w:rsidRPr="00F66EA9">
        <w:rPr>
          <w:i/>
        </w:rPr>
        <w:t>PctNotHSGrad</w:t>
      </w:r>
      <w:proofErr w:type="spellEnd"/>
      <w:r w:rsidRPr="00F66EA9">
        <w:rPr>
          <w:i/>
        </w:rPr>
        <w:t xml:space="preserve">, </w:t>
      </w:r>
      <w:proofErr w:type="spellStart"/>
      <w:r w:rsidRPr="00F66EA9">
        <w:rPr>
          <w:i/>
        </w:rPr>
        <w:t>PctUnemployed</w:t>
      </w:r>
      <w:proofErr w:type="spellEnd"/>
      <w:r w:rsidRPr="00F66EA9">
        <w:rPr>
          <w:i/>
        </w:rPr>
        <w:t xml:space="preserve">, </w:t>
      </w:r>
      <w:proofErr w:type="spellStart"/>
      <w:r w:rsidRPr="00F66EA9">
        <w:rPr>
          <w:i/>
        </w:rPr>
        <w:t>pctWSocSec</w:t>
      </w:r>
      <w:proofErr w:type="spellEnd"/>
      <w:r w:rsidRPr="00F66EA9">
        <w:rPr>
          <w:i/>
        </w:rPr>
        <w:t xml:space="preserve">, </w:t>
      </w:r>
      <w:proofErr w:type="spellStart"/>
      <w:r w:rsidRPr="00F66EA9">
        <w:rPr>
          <w:i/>
        </w:rPr>
        <w:t>racePctAsian</w:t>
      </w:r>
      <w:proofErr w:type="spellEnd"/>
      <w:r w:rsidRPr="00F66EA9">
        <w:rPr>
          <w:i/>
        </w:rPr>
        <w:t xml:space="preserve">, </w:t>
      </w:r>
      <w:proofErr w:type="spellStart"/>
      <w:r w:rsidRPr="00F66EA9">
        <w:rPr>
          <w:i/>
        </w:rPr>
        <w:t>PersPerOccupHous</w:t>
      </w:r>
      <w:proofErr w:type="spellEnd"/>
      <w:r w:rsidRPr="00F66EA9">
        <w:rPr>
          <w:i/>
        </w:rPr>
        <w:t xml:space="preserve">, </w:t>
      </w:r>
      <w:proofErr w:type="spellStart"/>
      <w:r w:rsidRPr="00F66EA9">
        <w:rPr>
          <w:i/>
        </w:rPr>
        <w:t>PctPerOwnOccup</w:t>
      </w:r>
      <w:proofErr w:type="spellEnd"/>
      <w:r w:rsidRPr="00F66EA9">
        <w:rPr>
          <w:i/>
        </w:rPr>
        <w:t>, PctSameCity85, PctSameState85,</w:t>
      </w:r>
      <w:r>
        <w:t xml:space="preserve"> and </w:t>
      </w:r>
      <w:proofErr w:type="spellStart"/>
      <w:r w:rsidRPr="00F66EA9">
        <w:rPr>
          <w:i/>
        </w:rPr>
        <w:t>PctBSorMore</w:t>
      </w:r>
      <w:proofErr w:type="spellEnd"/>
      <w:r>
        <w:t>.</w:t>
      </w:r>
    </w:p>
    <w:p w14:paraId="79862BB1" w14:textId="4EE20567" w:rsidR="00F84BE9" w:rsidRDefault="6406B28D">
      <w:r>
        <w:t xml:space="preserve">After our data cleansing, PCA, and PCR analysis, PCR reduced our prediction model from 88 principal components down to 7 principal components, and we reduced the number of variables to be utilized in a future MLR prediction model from 122 variables to a much more manageable 41 variables. </w:t>
      </w:r>
    </w:p>
    <w:p w14:paraId="4D69D2E5" w14:textId="77777777" w:rsidR="00E87239" w:rsidRDefault="00E87239">
      <w:pPr>
        <w:rPr>
          <w:u w:val="single"/>
        </w:rPr>
      </w:pPr>
    </w:p>
    <w:p w14:paraId="14224984" w14:textId="77777777" w:rsidR="00E87239" w:rsidRDefault="00E87239">
      <w:pPr>
        <w:rPr>
          <w:u w:val="single"/>
        </w:rPr>
      </w:pPr>
      <w:r>
        <w:rPr>
          <w:u w:val="single"/>
        </w:rPr>
        <w:br w:type="page"/>
      </w:r>
    </w:p>
    <w:p w14:paraId="5776C5D3" w14:textId="6FCC854A" w:rsidR="00F84BE9" w:rsidRDefault="00F84BE9">
      <w:pPr>
        <w:rPr>
          <w:u w:val="single"/>
        </w:rPr>
      </w:pPr>
    </w:p>
    <w:p w14:paraId="33A547B9" w14:textId="1CCF4AD6" w:rsidR="008F1FA6" w:rsidRPr="00315753" w:rsidRDefault="6406B28D" w:rsidP="008F1FA6">
      <w:r w:rsidRPr="6406B28D">
        <w:rPr>
          <w:u w:val="single"/>
        </w:rPr>
        <w:t>Appendix:</w:t>
      </w:r>
    </w:p>
    <w:p w14:paraId="13A3E3A3" w14:textId="77777777" w:rsidR="00350F65" w:rsidRDefault="00350F65" w:rsidP="00350F65">
      <w:pPr>
        <w:keepNext/>
        <w:jc w:val="center"/>
      </w:pPr>
      <w:r w:rsidRPr="00350F65">
        <w:rPr>
          <w:noProof/>
          <w:lang w:eastAsia="ja-JP"/>
        </w:rPr>
        <w:drawing>
          <wp:inline distT="0" distB="0" distL="0" distR="0" wp14:anchorId="0C5A362D" wp14:editId="273285F8">
            <wp:extent cx="5943600" cy="3166745"/>
            <wp:effectExtent l="0" t="0" r="0" b="0"/>
            <wp:docPr id="1" name="Picture 1" descr="C:\Users\Owner\Documents\GitHub\MSDS_6372\Communities_PCA\Analysis\Data\community_Distrib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GitHub\MSDS_6372\Communities_PCA\Analysis\Data\community_Distribu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10A37BF8" w14:textId="271AB3A5" w:rsidR="008F1FA6" w:rsidRDefault="00350F65" w:rsidP="00350F65">
      <w:pPr>
        <w:pStyle w:val="Caption"/>
        <w:jc w:val="center"/>
      </w:pPr>
      <w:bookmarkStart w:id="15" w:name="_Ref466577481"/>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4</w:t>
      </w:r>
      <w:r w:rsidR="007110D7" w:rsidRPr="1E23FE13">
        <w:fldChar w:fldCharType="end"/>
      </w:r>
      <w:bookmarkEnd w:id="15"/>
      <w:r>
        <w:t>.  Variable Distributions Before Transformation</w:t>
      </w:r>
    </w:p>
    <w:p w14:paraId="40EDAEE8" w14:textId="77777777" w:rsidR="00350F65" w:rsidRDefault="00350F65" w:rsidP="00350F65">
      <w:pPr>
        <w:keepNext/>
        <w:jc w:val="center"/>
      </w:pPr>
      <w:r w:rsidRPr="00350F65">
        <w:rPr>
          <w:noProof/>
          <w:lang w:eastAsia="ja-JP"/>
        </w:rPr>
        <w:drawing>
          <wp:inline distT="0" distB="0" distL="0" distR="0" wp14:anchorId="366BC052" wp14:editId="053F12E9">
            <wp:extent cx="5943600" cy="3161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1665"/>
                    </a:xfrm>
                    <a:prstGeom prst="rect">
                      <a:avLst/>
                    </a:prstGeom>
                  </pic:spPr>
                </pic:pic>
              </a:graphicData>
            </a:graphic>
          </wp:inline>
        </w:drawing>
      </w:r>
    </w:p>
    <w:p w14:paraId="6E6A55C5" w14:textId="62CF160C" w:rsidR="00AF0FB9" w:rsidRDefault="00350F65" w:rsidP="0007286F">
      <w:pPr>
        <w:pStyle w:val="Caption"/>
        <w:jc w:val="center"/>
      </w:pPr>
      <w:bookmarkStart w:id="16" w:name="_Ref465888504"/>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5</w:t>
      </w:r>
      <w:r w:rsidR="007110D7" w:rsidRPr="1E23FE13">
        <w:fldChar w:fldCharType="end"/>
      </w:r>
      <w:bookmarkEnd w:id="16"/>
      <w:r>
        <w:t>.  Variable Distributions After Transformation</w:t>
      </w:r>
    </w:p>
    <w:p w14:paraId="24D1EB17" w14:textId="44E62AA4" w:rsidR="00B258AE" w:rsidRDefault="00B258AE" w:rsidP="00B258AE">
      <w:pPr>
        <w:pStyle w:val="Caption"/>
        <w:keepNext/>
        <w:jc w:val="center"/>
      </w:pPr>
      <w:bookmarkStart w:id="17" w:name="_Ref465893877"/>
      <w:bookmarkStart w:id="18" w:name="_Ref466704266"/>
      <w:r>
        <w:lastRenderedPageBreak/>
        <w:t xml:space="preserve">Table </w:t>
      </w:r>
      <w:r w:rsidRPr="1E23FE13">
        <w:fldChar w:fldCharType="begin"/>
      </w:r>
      <w:r>
        <w:instrText xml:space="preserve"> SEQ Table \* ARABIC </w:instrText>
      </w:r>
      <w:r w:rsidRPr="1E23FE13">
        <w:fldChar w:fldCharType="separate"/>
      </w:r>
      <w:r w:rsidR="00CD7139">
        <w:rPr>
          <w:noProof/>
        </w:rPr>
        <w:t>8</w:t>
      </w:r>
      <w:r w:rsidRPr="1E23FE13">
        <w:fldChar w:fldCharType="end"/>
      </w:r>
      <w:bookmarkEnd w:id="17"/>
      <w:r>
        <w:t>.  Principal Component Eigenvalues and Variance Explained</w:t>
      </w:r>
    </w:p>
    <w:p w14:paraId="2434A008" w14:textId="77777777" w:rsidR="00B258AE" w:rsidRDefault="00B258AE" w:rsidP="00B258AE">
      <w:pPr>
        <w:jc w:val="center"/>
      </w:pPr>
      <w:r w:rsidRPr="00862BE6">
        <w:rPr>
          <w:noProof/>
          <w:lang w:eastAsia="ja-JP"/>
        </w:rPr>
        <w:drawing>
          <wp:inline distT="0" distB="0" distL="0" distR="0" wp14:anchorId="11EC221C" wp14:editId="2AE53F6D">
            <wp:extent cx="4111902" cy="617093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6981" cy="6223575"/>
                    </a:xfrm>
                    <a:prstGeom prst="rect">
                      <a:avLst/>
                    </a:prstGeom>
                    <a:noFill/>
                    <a:ln>
                      <a:noFill/>
                    </a:ln>
                  </pic:spPr>
                </pic:pic>
              </a:graphicData>
            </a:graphic>
          </wp:inline>
        </w:drawing>
      </w:r>
    </w:p>
    <w:p w14:paraId="3A403D97" w14:textId="77777777" w:rsidR="00B258AE" w:rsidRDefault="00B258AE" w:rsidP="00AF0FB9">
      <w:pPr>
        <w:pStyle w:val="Caption"/>
        <w:keepNext/>
        <w:jc w:val="center"/>
      </w:pPr>
    </w:p>
    <w:p w14:paraId="2D72228A" w14:textId="04E1B434" w:rsidR="00AF0FB9" w:rsidRDefault="00AF0FB9" w:rsidP="00AF0FB9">
      <w:pPr>
        <w:pStyle w:val="Caption"/>
        <w:keepNext/>
        <w:jc w:val="center"/>
      </w:pPr>
      <w:bookmarkStart w:id="19" w:name="_Ref466729639"/>
      <w:bookmarkStart w:id="20" w:name="_Ref466729651"/>
      <w:r>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9</w:t>
      </w:r>
      <w:r w:rsidR="007110D7" w:rsidRPr="1E23FE13">
        <w:fldChar w:fldCharType="end"/>
      </w:r>
      <w:bookmarkEnd w:id="18"/>
      <w:bookmarkEnd w:id="20"/>
      <w:r>
        <w:t>.  Variable Transformation Summary</w:t>
      </w:r>
      <w:bookmarkEnd w:id="19"/>
    </w:p>
    <w:p w14:paraId="5F55D32B" w14:textId="60B8480C" w:rsidR="00F947B9" w:rsidRDefault="00E00327" w:rsidP="00E1609C">
      <w:pPr>
        <w:spacing w:after="0" w:line="240" w:lineRule="auto"/>
        <w:jc w:val="center"/>
        <w:rPr>
          <w:i/>
          <w:iCs/>
          <w:color w:val="44546A" w:themeColor="text2"/>
          <w:sz w:val="18"/>
          <w:szCs w:val="18"/>
        </w:rPr>
      </w:pPr>
      <w:r w:rsidRPr="002806DE">
        <w:rPr>
          <w:noProof/>
          <w:lang w:eastAsia="ja-JP"/>
        </w:rPr>
        <w:drawing>
          <wp:inline distT="0" distB="0" distL="0" distR="0" wp14:anchorId="28ACD15E" wp14:editId="02427E6C">
            <wp:extent cx="4346489"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761" cy="3373066"/>
                    </a:xfrm>
                    <a:prstGeom prst="rect">
                      <a:avLst/>
                    </a:prstGeom>
                  </pic:spPr>
                </pic:pic>
              </a:graphicData>
            </a:graphic>
          </wp:inline>
        </w:drawing>
      </w:r>
      <w:r>
        <w:br/>
      </w:r>
      <w:r>
        <w:br/>
      </w:r>
      <w:bookmarkStart w:id="21" w:name="_Ref466578153"/>
    </w:p>
    <w:p w14:paraId="18B0E1AF" w14:textId="77777777" w:rsidR="0043727C" w:rsidRDefault="0043727C">
      <w:pPr>
        <w:rPr>
          <w:i/>
          <w:color w:val="44546A" w:themeColor="text2"/>
          <w:sz w:val="18"/>
          <w:szCs w:val="18"/>
        </w:rPr>
      </w:pPr>
      <w:r>
        <w:rPr>
          <w:i/>
          <w:color w:val="44546A" w:themeColor="text2"/>
          <w:sz w:val="18"/>
          <w:szCs w:val="18"/>
        </w:rPr>
        <w:br w:type="page"/>
      </w:r>
    </w:p>
    <w:p w14:paraId="663D8230" w14:textId="77777777" w:rsidR="00E00327" w:rsidRDefault="00E00327" w:rsidP="00AF0FB9">
      <w:pPr>
        <w:spacing w:after="0" w:line="240" w:lineRule="auto"/>
        <w:jc w:val="center"/>
        <w:rPr>
          <w:i/>
          <w:color w:val="44546A" w:themeColor="text2"/>
          <w:sz w:val="18"/>
          <w:szCs w:val="18"/>
        </w:rPr>
      </w:pPr>
    </w:p>
    <w:p w14:paraId="5B6F7E9A" w14:textId="0E2CC479" w:rsidR="00B2777C" w:rsidRDefault="00813546" w:rsidP="00B2777C">
      <w:pPr>
        <w:spacing w:after="0" w:line="240" w:lineRule="auto"/>
        <w:jc w:val="center"/>
        <w:rPr>
          <w:i/>
          <w:iCs/>
          <w:color w:val="44546A" w:themeColor="text2"/>
          <w:sz w:val="18"/>
          <w:szCs w:val="18"/>
        </w:rPr>
      </w:pPr>
      <w:bookmarkStart w:id="22" w:name="_Ref466731905"/>
      <w:r w:rsidRPr="00F947B9">
        <w:rPr>
          <w:i/>
          <w:iCs/>
          <w:color w:val="44546A" w:themeColor="text2"/>
          <w:sz w:val="18"/>
          <w:szCs w:val="18"/>
        </w:rPr>
        <w:t xml:space="preserve">Table </w:t>
      </w:r>
      <w:r w:rsidR="007110D7" w:rsidRPr="0AF3F68B">
        <w:fldChar w:fldCharType="begin"/>
      </w:r>
      <w:r w:rsidR="007110D7" w:rsidRPr="00F947B9">
        <w:rPr>
          <w:i/>
          <w:iCs/>
          <w:color w:val="44546A" w:themeColor="text2"/>
          <w:sz w:val="18"/>
          <w:szCs w:val="18"/>
        </w:rPr>
        <w:instrText xml:space="preserve"> SEQ Table \* ARABIC </w:instrText>
      </w:r>
      <w:r w:rsidR="007110D7" w:rsidRPr="00F947B9">
        <w:rPr>
          <w:i/>
          <w:iCs/>
          <w:color w:val="44546A" w:themeColor="text2"/>
          <w:sz w:val="18"/>
          <w:szCs w:val="18"/>
        </w:rPr>
        <w:fldChar w:fldCharType="separate"/>
      </w:r>
      <w:r w:rsidR="00CD7139">
        <w:rPr>
          <w:i/>
          <w:iCs/>
          <w:noProof/>
          <w:color w:val="44546A" w:themeColor="text2"/>
          <w:sz w:val="18"/>
          <w:szCs w:val="18"/>
        </w:rPr>
        <w:t>10</w:t>
      </w:r>
      <w:r w:rsidR="007110D7" w:rsidRPr="0AF3F68B">
        <w:fldChar w:fldCharType="end"/>
      </w:r>
      <w:bookmarkEnd w:id="21"/>
      <w:bookmarkEnd w:id="22"/>
      <w:r w:rsidRPr="00F947B9">
        <w:rPr>
          <w:i/>
          <w:iCs/>
          <w:color w:val="44546A" w:themeColor="text2"/>
          <w:sz w:val="18"/>
          <w:szCs w:val="18"/>
        </w:rPr>
        <w:t>.  Correlation Matrix Summary</w:t>
      </w:r>
    </w:p>
    <w:p w14:paraId="0478CD11" w14:textId="32BA0F27" w:rsidR="00E00327" w:rsidRDefault="00194B4C" w:rsidP="00B2777C">
      <w:pPr>
        <w:spacing w:after="0" w:line="240" w:lineRule="auto"/>
        <w:jc w:val="center"/>
      </w:pPr>
      <w:r w:rsidRPr="00194B4C">
        <w:rPr>
          <w:noProof/>
          <w:lang w:eastAsia="ja-JP"/>
        </w:rPr>
        <w:drawing>
          <wp:inline distT="0" distB="0" distL="0" distR="0" wp14:anchorId="26E42083" wp14:editId="7B051B0F">
            <wp:extent cx="5535827" cy="45191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5318" cy="4526898"/>
                    </a:xfrm>
                    <a:prstGeom prst="rect">
                      <a:avLst/>
                    </a:prstGeom>
                  </pic:spPr>
                </pic:pic>
              </a:graphicData>
            </a:graphic>
          </wp:inline>
        </w:drawing>
      </w:r>
    </w:p>
    <w:p w14:paraId="295FBA74" w14:textId="77777777" w:rsidR="00E00327" w:rsidRDefault="00E00327" w:rsidP="00E00327"/>
    <w:p w14:paraId="673E33BB" w14:textId="3265FD4A" w:rsidR="00777C50" w:rsidRDefault="00777C50" w:rsidP="00350F65">
      <w:pPr>
        <w:jc w:val="center"/>
      </w:pPr>
    </w:p>
    <w:sectPr w:rsidR="0077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Times New 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721"/>
    <w:multiLevelType w:val="hybridMultilevel"/>
    <w:tmpl w:val="FD24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15D97"/>
    <w:multiLevelType w:val="hybridMultilevel"/>
    <w:tmpl w:val="847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535A8"/>
    <w:multiLevelType w:val="hybridMultilevel"/>
    <w:tmpl w:val="251E3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4971"/>
    <w:multiLevelType w:val="hybridMultilevel"/>
    <w:tmpl w:val="5CDE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654A"/>
    <w:multiLevelType w:val="hybridMultilevel"/>
    <w:tmpl w:val="45EC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43"/>
    <w:rsid w:val="00004046"/>
    <w:rsid w:val="000253EB"/>
    <w:rsid w:val="000266E0"/>
    <w:rsid w:val="00026B50"/>
    <w:rsid w:val="00026C34"/>
    <w:rsid w:val="00030BE8"/>
    <w:rsid w:val="00031107"/>
    <w:rsid w:val="00034A97"/>
    <w:rsid w:val="00035F63"/>
    <w:rsid w:val="00036672"/>
    <w:rsid w:val="00040332"/>
    <w:rsid w:val="00040A0E"/>
    <w:rsid w:val="0004581F"/>
    <w:rsid w:val="00046499"/>
    <w:rsid w:val="00051B61"/>
    <w:rsid w:val="000547F0"/>
    <w:rsid w:val="000605D0"/>
    <w:rsid w:val="0006714D"/>
    <w:rsid w:val="00070181"/>
    <w:rsid w:val="0007074B"/>
    <w:rsid w:val="0007286F"/>
    <w:rsid w:val="00072A5E"/>
    <w:rsid w:val="000740CC"/>
    <w:rsid w:val="00074589"/>
    <w:rsid w:val="00081D66"/>
    <w:rsid w:val="000A06EE"/>
    <w:rsid w:val="000A4F43"/>
    <w:rsid w:val="000B11A9"/>
    <w:rsid w:val="000B31BC"/>
    <w:rsid w:val="000B4C81"/>
    <w:rsid w:val="000C1496"/>
    <w:rsid w:val="000D00AC"/>
    <w:rsid w:val="000D0BE2"/>
    <w:rsid w:val="000D20F1"/>
    <w:rsid w:val="000D3011"/>
    <w:rsid w:val="000D41E2"/>
    <w:rsid w:val="000D4CD5"/>
    <w:rsid w:val="000E0A9D"/>
    <w:rsid w:val="000E1840"/>
    <w:rsid w:val="000E3FC3"/>
    <w:rsid w:val="00104778"/>
    <w:rsid w:val="0010661A"/>
    <w:rsid w:val="001133F1"/>
    <w:rsid w:val="001221D8"/>
    <w:rsid w:val="001242C1"/>
    <w:rsid w:val="00133C49"/>
    <w:rsid w:val="00141732"/>
    <w:rsid w:val="0014374A"/>
    <w:rsid w:val="0014390A"/>
    <w:rsid w:val="0015171E"/>
    <w:rsid w:val="001519F0"/>
    <w:rsid w:val="0015457D"/>
    <w:rsid w:val="00157628"/>
    <w:rsid w:val="00162579"/>
    <w:rsid w:val="00164CE3"/>
    <w:rsid w:val="001654BD"/>
    <w:rsid w:val="001666D3"/>
    <w:rsid w:val="001727F4"/>
    <w:rsid w:val="00180E36"/>
    <w:rsid w:val="00182779"/>
    <w:rsid w:val="00186B00"/>
    <w:rsid w:val="00187B10"/>
    <w:rsid w:val="00192C1C"/>
    <w:rsid w:val="00192D17"/>
    <w:rsid w:val="00194B4C"/>
    <w:rsid w:val="00195827"/>
    <w:rsid w:val="001A5985"/>
    <w:rsid w:val="001C2FD7"/>
    <w:rsid w:val="001C743E"/>
    <w:rsid w:val="001D0C0C"/>
    <w:rsid w:val="001D2CBC"/>
    <w:rsid w:val="001E5661"/>
    <w:rsid w:val="001E5B3E"/>
    <w:rsid w:val="001E72C5"/>
    <w:rsid w:val="001F1966"/>
    <w:rsid w:val="001F7317"/>
    <w:rsid w:val="001F735E"/>
    <w:rsid w:val="0020384A"/>
    <w:rsid w:val="00207CCA"/>
    <w:rsid w:val="00212567"/>
    <w:rsid w:val="00215BD6"/>
    <w:rsid w:val="0021652C"/>
    <w:rsid w:val="00224218"/>
    <w:rsid w:val="00224567"/>
    <w:rsid w:val="00225037"/>
    <w:rsid w:val="002255B4"/>
    <w:rsid w:val="00225F57"/>
    <w:rsid w:val="0022649B"/>
    <w:rsid w:val="00230BDF"/>
    <w:rsid w:val="00237708"/>
    <w:rsid w:val="00241113"/>
    <w:rsid w:val="002419D1"/>
    <w:rsid w:val="00241EDC"/>
    <w:rsid w:val="0024596F"/>
    <w:rsid w:val="0025014C"/>
    <w:rsid w:val="002545DA"/>
    <w:rsid w:val="00254791"/>
    <w:rsid w:val="00261BC2"/>
    <w:rsid w:val="00261EE0"/>
    <w:rsid w:val="002637A5"/>
    <w:rsid w:val="0026634B"/>
    <w:rsid w:val="00271744"/>
    <w:rsid w:val="00275AB6"/>
    <w:rsid w:val="002760C2"/>
    <w:rsid w:val="002804A4"/>
    <w:rsid w:val="002805FE"/>
    <w:rsid w:val="00291CDE"/>
    <w:rsid w:val="002938B7"/>
    <w:rsid w:val="0029470A"/>
    <w:rsid w:val="002A62A3"/>
    <w:rsid w:val="002A6C2D"/>
    <w:rsid w:val="002A7A95"/>
    <w:rsid w:val="002B4454"/>
    <w:rsid w:val="002B5D9E"/>
    <w:rsid w:val="002B671D"/>
    <w:rsid w:val="002C03F2"/>
    <w:rsid w:val="002C36E7"/>
    <w:rsid w:val="002D2923"/>
    <w:rsid w:val="002D7E28"/>
    <w:rsid w:val="002E0EB4"/>
    <w:rsid w:val="002E2C6D"/>
    <w:rsid w:val="00301BD7"/>
    <w:rsid w:val="003115CF"/>
    <w:rsid w:val="00317382"/>
    <w:rsid w:val="0032682D"/>
    <w:rsid w:val="00332588"/>
    <w:rsid w:val="0033315D"/>
    <w:rsid w:val="0033579F"/>
    <w:rsid w:val="00337CAE"/>
    <w:rsid w:val="003436ED"/>
    <w:rsid w:val="00344E99"/>
    <w:rsid w:val="00346C6B"/>
    <w:rsid w:val="00350F65"/>
    <w:rsid w:val="0035138A"/>
    <w:rsid w:val="00356EB5"/>
    <w:rsid w:val="00360ED8"/>
    <w:rsid w:val="00361251"/>
    <w:rsid w:val="00361DC2"/>
    <w:rsid w:val="00362856"/>
    <w:rsid w:val="003731E2"/>
    <w:rsid w:val="00374B61"/>
    <w:rsid w:val="0037614E"/>
    <w:rsid w:val="00376301"/>
    <w:rsid w:val="0037795B"/>
    <w:rsid w:val="003806A1"/>
    <w:rsid w:val="00382358"/>
    <w:rsid w:val="00382E8C"/>
    <w:rsid w:val="00383711"/>
    <w:rsid w:val="00386143"/>
    <w:rsid w:val="00391118"/>
    <w:rsid w:val="003933FF"/>
    <w:rsid w:val="0039758A"/>
    <w:rsid w:val="003A3994"/>
    <w:rsid w:val="003A46E6"/>
    <w:rsid w:val="003A6607"/>
    <w:rsid w:val="003B23B3"/>
    <w:rsid w:val="003B6F9F"/>
    <w:rsid w:val="003B7246"/>
    <w:rsid w:val="003C2465"/>
    <w:rsid w:val="003C2CAF"/>
    <w:rsid w:val="003C33AA"/>
    <w:rsid w:val="003E0092"/>
    <w:rsid w:val="003E4EC3"/>
    <w:rsid w:val="003E6AC6"/>
    <w:rsid w:val="00401849"/>
    <w:rsid w:val="0040315A"/>
    <w:rsid w:val="004108E0"/>
    <w:rsid w:val="00411C84"/>
    <w:rsid w:val="0041234D"/>
    <w:rsid w:val="00412ACF"/>
    <w:rsid w:val="004131D0"/>
    <w:rsid w:val="00413BC9"/>
    <w:rsid w:val="00416124"/>
    <w:rsid w:val="00416374"/>
    <w:rsid w:val="00417044"/>
    <w:rsid w:val="004224C9"/>
    <w:rsid w:val="00423D82"/>
    <w:rsid w:val="0043727C"/>
    <w:rsid w:val="004378D2"/>
    <w:rsid w:val="004538A6"/>
    <w:rsid w:val="00455A80"/>
    <w:rsid w:val="00455CB3"/>
    <w:rsid w:val="004562E9"/>
    <w:rsid w:val="00465D05"/>
    <w:rsid w:val="004670A4"/>
    <w:rsid w:val="004749B5"/>
    <w:rsid w:val="004758B6"/>
    <w:rsid w:val="00475F3B"/>
    <w:rsid w:val="004763E4"/>
    <w:rsid w:val="004945DE"/>
    <w:rsid w:val="004A2704"/>
    <w:rsid w:val="004A3632"/>
    <w:rsid w:val="004A557C"/>
    <w:rsid w:val="004B352D"/>
    <w:rsid w:val="004B451A"/>
    <w:rsid w:val="004C1B50"/>
    <w:rsid w:val="004C6901"/>
    <w:rsid w:val="004D4EEA"/>
    <w:rsid w:val="004D6CD2"/>
    <w:rsid w:val="004E39DA"/>
    <w:rsid w:val="004E596A"/>
    <w:rsid w:val="004E69A2"/>
    <w:rsid w:val="004F097D"/>
    <w:rsid w:val="004F6DB8"/>
    <w:rsid w:val="005101DC"/>
    <w:rsid w:val="00526190"/>
    <w:rsid w:val="005330AC"/>
    <w:rsid w:val="00533FF2"/>
    <w:rsid w:val="0053402A"/>
    <w:rsid w:val="00536877"/>
    <w:rsid w:val="00542730"/>
    <w:rsid w:val="00542E94"/>
    <w:rsid w:val="005512DA"/>
    <w:rsid w:val="0055162F"/>
    <w:rsid w:val="00561193"/>
    <w:rsid w:val="005706B4"/>
    <w:rsid w:val="005746BC"/>
    <w:rsid w:val="005763C4"/>
    <w:rsid w:val="00583947"/>
    <w:rsid w:val="00585839"/>
    <w:rsid w:val="00587166"/>
    <w:rsid w:val="00594269"/>
    <w:rsid w:val="005A3517"/>
    <w:rsid w:val="005A6144"/>
    <w:rsid w:val="005B1372"/>
    <w:rsid w:val="005B152E"/>
    <w:rsid w:val="005B2B27"/>
    <w:rsid w:val="005B2B36"/>
    <w:rsid w:val="005C5184"/>
    <w:rsid w:val="005C56E0"/>
    <w:rsid w:val="005E3333"/>
    <w:rsid w:val="005E5211"/>
    <w:rsid w:val="005E6CAD"/>
    <w:rsid w:val="005E73CF"/>
    <w:rsid w:val="005E791B"/>
    <w:rsid w:val="005F6013"/>
    <w:rsid w:val="005F6FF8"/>
    <w:rsid w:val="00601813"/>
    <w:rsid w:val="00603F36"/>
    <w:rsid w:val="006063DE"/>
    <w:rsid w:val="00613D57"/>
    <w:rsid w:val="00616B81"/>
    <w:rsid w:val="00616DE8"/>
    <w:rsid w:val="0061701C"/>
    <w:rsid w:val="006236DC"/>
    <w:rsid w:val="00625F20"/>
    <w:rsid w:val="0062606D"/>
    <w:rsid w:val="006263A5"/>
    <w:rsid w:val="006263EB"/>
    <w:rsid w:val="0063021C"/>
    <w:rsid w:val="00632A87"/>
    <w:rsid w:val="00632A95"/>
    <w:rsid w:val="00634590"/>
    <w:rsid w:val="00641AF2"/>
    <w:rsid w:val="00641CBE"/>
    <w:rsid w:val="00642145"/>
    <w:rsid w:val="0064544D"/>
    <w:rsid w:val="0066340D"/>
    <w:rsid w:val="00664669"/>
    <w:rsid w:val="006647DC"/>
    <w:rsid w:val="0066630A"/>
    <w:rsid w:val="00674E26"/>
    <w:rsid w:val="00682A92"/>
    <w:rsid w:val="006915F1"/>
    <w:rsid w:val="00691635"/>
    <w:rsid w:val="006923CF"/>
    <w:rsid w:val="006923E6"/>
    <w:rsid w:val="00692E91"/>
    <w:rsid w:val="0069413A"/>
    <w:rsid w:val="00694701"/>
    <w:rsid w:val="006A1DDD"/>
    <w:rsid w:val="006A584C"/>
    <w:rsid w:val="006A65E2"/>
    <w:rsid w:val="006A776F"/>
    <w:rsid w:val="006A7E2F"/>
    <w:rsid w:val="006B04C5"/>
    <w:rsid w:val="006C4FB1"/>
    <w:rsid w:val="006D413B"/>
    <w:rsid w:val="006D7B04"/>
    <w:rsid w:val="006E0653"/>
    <w:rsid w:val="006E3C49"/>
    <w:rsid w:val="006E5F7A"/>
    <w:rsid w:val="006F05D1"/>
    <w:rsid w:val="006F0C15"/>
    <w:rsid w:val="006F602B"/>
    <w:rsid w:val="007110D7"/>
    <w:rsid w:val="00716B8A"/>
    <w:rsid w:val="0072251D"/>
    <w:rsid w:val="007232AF"/>
    <w:rsid w:val="00730EA9"/>
    <w:rsid w:val="0073220A"/>
    <w:rsid w:val="0073242C"/>
    <w:rsid w:val="00740C4D"/>
    <w:rsid w:val="0074186C"/>
    <w:rsid w:val="00743374"/>
    <w:rsid w:val="0074343F"/>
    <w:rsid w:val="0074493C"/>
    <w:rsid w:val="00751056"/>
    <w:rsid w:val="007511C7"/>
    <w:rsid w:val="0075391A"/>
    <w:rsid w:val="00756514"/>
    <w:rsid w:val="00764793"/>
    <w:rsid w:val="00765151"/>
    <w:rsid w:val="0077321D"/>
    <w:rsid w:val="0077381D"/>
    <w:rsid w:val="007757E1"/>
    <w:rsid w:val="00777C50"/>
    <w:rsid w:val="0079032A"/>
    <w:rsid w:val="007973A6"/>
    <w:rsid w:val="007A276B"/>
    <w:rsid w:val="007A4C4D"/>
    <w:rsid w:val="007A5CAA"/>
    <w:rsid w:val="007A65FC"/>
    <w:rsid w:val="007A7880"/>
    <w:rsid w:val="007B1652"/>
    <w:rsid w:val="007C02AD"/>
    <w:rsid w:val="007C0CE2"/>
    <w:rsid w:val="007C4D2E"/>
    <w:rsid w:val="007C53B0"/>
    <w:rsid w:val="007C6E76"/>
    <w:rsid w:val="007D17DC"/>
    <w:rsid w:val="007D3185"/>
    <w:rsid w:val="007D397F"/>
    <w:rsid w:val="007D3E4B"/>
    <w:rsid w:val="007E1413"/>
    <w:rsid w:val="007E472B"/>
    <w:rsid w:val="007E4FE4"/>
    <w:rsid w:val="007E5438"/>
    <w:rsid w:val="007E5FFA"/>
    <w:rsid w:val="007F0C22"/>
    <w:rsid w:val="007F1C31"/>
    <w:rsid w:val="007F7B7F"/>
    <w:rsid w:val="00804315"/>
    <w:rsid w:val="00807A04"/>
    <w:rsid w:val="00807FB3"/>
    <w:rsid w:val="00810643"/>
    <w:rsid w:val="008134C5"/>
    <w:rsid w:val="00813546"/>
    <w:rsid w:val="00813714"/>
    <w:rsid w:val="00815BA2"/>
    <w:rsid w:val="00815CA2"/>
    <w:rsid w:val="008167AF"/>
    <w:rsid w:val="008179D8"/>
    <w:rsid w:val="008226E8"/>
    <w:rsid w:val="00823EA8"/>
    <w:rsid w:val="00824091"/>
    <w:rsid w:val="00826537"/>
    <w:rsid w:val="00827FBE"/>
    <w:rsid w:val="00830308"/>
    <w:rsid w:val="00834F21"/>
    <w:rsid w:val="00836293"/>
    <w:rsid w:val="00836A5F"/>
    <w:rsid w:val="00840360"/>
    <w:rsid w:val="00842FA7"/>
    <w:rsid w:val="00844F30"/>
    <w:rsid w:val="0085180C"/>
    <w:rsid w:val="008532A4"/>
    <w:rsid w:val="0085470F"/>
    <w:rsid w:val="00862BE6"/>
    <w:rsid w:val="008654DE"/>
    <w:rsid w:val="00867371"/>
    <w:rsid w:val="00870F72"/>
    <w:rsid w:val="00875EB6"/>
    <w:rsid w:val="00886CB7"/>
    <w:rsid w:val="00892F48"/>
    <w:rsid w:val="00895E30"/>
    <w:rsid w:val="008978D6"/>
    <w:rsid w:val="00897C9D"/>
    <w:rsid w:val="008A41F7"/>
    <w:rsid w:val="008A6909"/>
    <w:rsid w:val="008A7047"/>
    <w:rsid w:val="008B0DDA"/>
    <w:rsid w:val="008B0E44"/>
    <w:rsid w:val="008B33C2"/>
    <w:rsid w:val="008B5DFF"/>
    <w:rsid w:val="008B7D29"/>
    <w:rsid w:val="008C1182"/>
    <w:rsid w:val="008C2072"/>
    <w:rsid w:val="008D0317"/>
    <w:rsid w:val="008D18BC"/>
    <w:rsid w:val="008D6764"/>
    <w:rsid w:val="008D7B46"/>
    <w:rsid w:val="008E14C7"/>
    <w:rsid w:val="008E1D0E"/>
    <w:rsid w:val="008E37AD"/>
    <w:rsid w:val="008E7F16"/>
    <w:rsid w:val="008F0BE0"/>
    <w:rsid w:val="008F1FA6"/>
    <w:rsid w:val="008F441F"/>
    <w:rsid w:val="008F5FBA"/>
    <w:rsid w:val="00901130"/>
    <w:rsid w:val="009030F9"/>
    <w:rsid w:val="00903D19"/>
    <w:rsid w:val="00904F3D"/>
    <w:rsid w:val="00907E5C"/>
    <w:rsid w:val="00917A49"/>
    <w:rsid w:val="00924477"/>
    <w:rsid w:val="00924E82"/>
    <w:rsid w:val="009254E9"/>
    <w:rsid w:val="00925BCE"/>
    <w:rsid w:val="00926453"/>
    <w:rsid w:val="00927721"/>
    <w:rsid w:val="0093030E"/>
    <w:rsid w:val="009331B3"/>
    <w:rsid w:val="009344C3"/>
    <w:rsid w:val="00937EC4"/>
    <w:rsid w:val="00940802"/>
    <w:rsid w:val="0094331E"/>
    <w:rsid w:val="0095023E"/>
    <w:rsid w:val="00952474"/>
    <w:rsid w:val="00957B36"/>
    <w:rsid w:val="00970619"/>
    <w:rsid w:val="009742DA"/>
    <w:rsid w:val="0097438F"/>
    <w:rsid w:val="009757DB"/>
    <w:rsid w:val="00980DF3"/>
    <w:rsid w:val="009912A9"/>
    <w:rsid w:val="0099156B"/>
    <w:rsid w:val="00996370"/>
    <w:rsid w:val="009A068A"/>
    <w:rsid w:val="009A76BB"/>
    <w:rsid w:val="009B030E"/>
    <w:rsid w:val="009B2E67"/>
    <w:rsid w:val="009B40F1"/>
    <w:rsid w:val="009B4A11"/>
    <w:rsid w:val="009C0F52"/>
    <w:rsid w:val="009C42A4"/>
    <w:rsid w:val="009D6D2B"/>
    <w:rsid w:val="009F661D"/>
    <w:rsid w:val="00A0282B"/>
    <w:rsid w:val="00A029E7"/>
    <w:rsid w:val="00A03405"/>
    <w:rsid w:val="00A03907"/>
    <w:rsid w:val="00A04E8A"/>
    <w:rsid w:val="00A12D5D"/>
    <w:rsid w:val="00A16767"/>
    <w:rsid w:val="00A16806"/>
    <w:rsid w:val="00A27AF0"/>
    <w:rsid w:val="00A3067D"/>
    <w:rsid w:val="00A32741"/>
    <w:rsid w:val="00A45DB1"/>
    <w:rsid w:val="00A45E07"/>
    <w:rsid w:val="00A510E1"/>
    <w:rsid w:val="00A525F5"/>
    <w:rsid w:val="00A6038A"/>
    <w:rsid w:val="00A60D81"/>
    <w:rsid w:val="00A6398F"/>
    <w:rsid w:val="00A64227"/>
    <w:rsid w:val="00A64E07"/>
    <w:rsid w:val="00A71DFF"/>
    <w:rsid w:val="00A736F1"/>
    <w:rsid w:val="00A742F9"/>
    <w:rsid w:val="00A75CEC"/>
    <w:rsid w:val="00A826ED"/>
    <w:rsid w:val="00A85C5C"/>
    <w:rsid w:val="00A87BBB"/>
    <w:rsid w:val="00A96F26"/>
    <w:rsid w:val="00AA04C0"/>
    <w:rsid w:val="00AA38EB"/>
    <w:rsid w:val="00AC4A62"/>
    <w:rsid w:val="00AC62E0"/>
    <w:rsid w:val="00AC7925"/>
    <w:rsid w:val="00AD3B5C"/>
    <w:rsid w:val="00AD5D92"/>
    <w:rsid w:val="00AD7CA7"/>
    <w:rsid w:val="00AE0013"/>
    <w:rsid w:val="00AE3859"/>
    <w:rsid w:val="00AE5D62"/>
    <w:rsid w:val="00AF0FB9"/>
    <w:rsid w:val="00AF1374"/>
    <w:rsid w:val="00AF2489"/>
    <w:rsid w:val="00AF292F"/>
    <w:rsid w:val="00AF6B9C"/>
    <w:rsid w:val="00AF7E43"/>
    <w:rsid w:val="00B12897"/>
    <w:rsid w:val="00B133A0"/>
    <w:rsid w:val="00B14D1A"/>
    <w:rsid w:val="00B258AE"/>
    <w:rsid w:val="00B2777C"/>
    <w:rsid w:val="00B3788C"/>
    <w:rsid w:val="00B41703"/>
    <w:rsid w:val="00B42AAD"/>
    <w:rsid w:val="00B445DC"/>
    <w:rsid w:val="00B45F57"/>
    <w:rsid w:val="00B5344A"/>
    <w:rsid w:val="00B55721"/>
    <w:rsid w:val="00B63EEA"/>
    <w:rsid w:val="00B64860"/>
    <w:rsid w:val="00B6704E"/>
    <w:rsid w:val="00B71DAA"/>
    <w:rsid w:val="00B76476"/>
    <w:rsid w:val="00BA07CB"/>
    <w:rsid w:val="00BA428C"/>
    <w:rsid w:val="00BA4A58"/>
    <w:rsid w:val="00BA5C93"/>
    <w:rsid w:val="00BA694D"/>
    <w:rsid w:val="00BA794F"/>
    <w:rsid w:val="00BC4623"/>
    <w:rsid w:val="00BD1A47"/>
    <w:rsid w:val="00BD3DC0"/>
    <w:rsid w:val="00BD6AA2"/>
    <w:rsid w:val="00BE084B"/>
    <w:rsid w:val="00BE15BC"/>
    <w:rsid w:val="00BE1975"/>
    <w:rsid w:val="00BE7AD1"/>
    <w:rsid w:val="00BF17D8"/>
    <w:rsid w:val="00BF2B31"/>
    <w:rsid w:val="00BF33E6"/>
    <w:rsid w:val="00BF4685"/>
    <w:rsid w:val="00C02E9E"/>
    <w:rsid w:val="00C0370A"/>
    <w:rsid w:val="00C03D2F"/>
    <w:rsid w:val="00C059AD"/>
    <w:rsid w:val="00C071B0"/>
    <w:rsid w:val="00C074F8"/>
    <w:rsid w:val="00C1096A"/>
    <w:rsid w:val="00C147EC"/>
    <w:rsid w:val="00C15652"/>
    <w:rsid w:val="00C15B1B"/>
    <w:rsid w:val="00C246AC"/>
    <w:rsid w:val="00C301B0"/>
    <w:rsid w:val="00C31695"/>
    <w:rsid w:val="00C34E94"/>
    <w:rsid w:val="00C35C69"/>
    <w:rsid w:val="00C4095B"/>
    <w:rsid w:val="00C45358"/>
    <w:rsid w:val="00C465D7"/>
    <w:rsid w:val="00C47510"/>
    <w:rsid w:val="00C51852"/>
    <w:rsid w:val="00C572CE"/>
    <w:rsid w:val="00C61F94"/>
    <w:rsid w:val="00C6248A"/>
    <w:rsid w:val="00C65066"/>
    <w:rsid w:val="00C7354F"/>
    <w:rsid w:val="00C8025F"/>
    <w:rsid w:val="00C91F17"/>
    <w:rsid w:val="00C93FFE"/>
    <w:rsid w:val="00CA4631"/>
    <w:rsid w:val="00CA5C45"/>
    <w:rsid w:val="00CA74DE"/>
    <w:rsid w:val="00CB5FD8"/>
    <w:rsid w:val="00CD7139"/>
    <w:rsid w:val="00CE08CE"/>
    <w:rsid w:val="00CE3651"/>
    <w:rsid w:val="00CE5E15"/>
    <w:rsid w:val="00CE6464"/>
    <w:rsid w:val="00CE6EB6"/>
    <w:rsid w:val="00CF03C7"/>
    <w:rsid w:val="00CF6CF9"/>
    <w:rsid w:val="00CF772F"/>
    <w:rsid w:val="00D1071B"/>
    <w:rsid w:val="00D10D84"/>
    <w:rsid w:val="00D41ED2"/>
    <w:rsid w:val="00D4782B"/>
    <w:rsid w:val="00D506FC"/>
    <w:rsid w:val="00D50B36"/>
    <w:rsid w:val="00D52A27"/>
    <w:rsid w:val="00D530E1"/>
    <w:rsid w:val="00D53E65"/>
    <w:rsid w:val="00D66F9E"/>
    <w:rsid w:val="00D82FD7"/>
    <w:rsid w:val="00D83FF0"/>
    <w:rsid w:val="00D94782"/>
    <w:rsid w:val="00D97817"/>
    <w:rsid w:val="00DA20B0"/>
    <w:rsid w:val="00DA2F11"/>
    <w:rsid w:val="00DA5296"/>
    <w:rsid w:val="00DB2780"/>
    <w:rsid w:val="00DB3D3B"/>
    <w:rsid w:val="00DB6803"/>
    <w:rsid w:val="00DC346B"/>
    <w:rsid w:val="00DC4AB4"/>
    <w:rsid w:val="00DC50FF"/>
    <w:rsid w:val="00DC6B16"/>
    <w:rsid w:val="00DC7947"/>
    <w:rsid w:val="00DD0500"/>
    <w:rsid w:val="00DD1C07"/>
    <w:rsid w:val="00DE4133"/>
    <w:rsid w:val="00E00327"/>
    <w:rsid w:val="00E03EA3"/>
    <w:rsid w:val="00E069D2"/>
    <w:rsid w:val="00E1137B"/>
    <w:rsid w:val="00E12171"/>
    <w:rsid w:val="00E122C9"/>
    <w:rsid w:val="00E1443A"/>
    <w:rsid w:val="00E1609C"/>
    <w:rsid w:val="00E214ED"/>
    <w:rsid w:val="00E21853"/>
    <w:rsid w:val="00E26163"/>
    <w:rsid w:val="00E31054"/>
    <w:rsid w:val="00E361D7"/>
    <w:rsid w:val="00E37247"/>
    <w:rsid w:val="00E44755"/>
    <w:rsid w:val="00E4576D"/>
    <w:rsid w:val="00E51493"/>
    <w:rsid w:val="00E54D91"/>
    <w:rsid w:val="00E54E08"/>
    <w:rsid w:val="00E54F10"/>
    <w:rsid w:val="00E56EFD"/>
    <w:rsid w:val="00E65BBD"/>
    <w:rsid w:val="00E66B66"/>
    <w:rsid w:val="00E73675"/>
    <w:rsid w:val="00E7521B"/>
    <w:rsid w:val="00E825F7"/>
    <w:rsid w:val="00E8507D"/>
    <w:rsid w:val="00E87239"/>
    <w:rsid w:val="00EA0F19"/>
    <w:rsid w:val="00EA2F40"/>
    <w:rsid w:val="00EA7167"/>
    <w:rsid w:val="00EB041B"/>
    <w:rsid w:val="00EB05B7"/>
    <w:rsid w:val="00EB3543"/>
    <w:rsid w:val="00EB3928"/>
    <w:rsid w:val="00EB7E57"/>
    <w:rsid w:val="00EC6CB6"/>
    <w:rsid w:val="00ED3B67"/>
    <w:rsid w:val="00ED442F"/>
    <w:rsid w:val="00ED7D15"/>
    <w:rsid w:val="00EE3ECA"/>
    <w:rsid w:val="00EE505A"/>
    <w:rsid w:val="00EE5ECB"/>
    <w:rsid w:val="00EF182A"/>
    <w:rsid w:val="00F04868"/>
    <w:rsid w:val="00F0543D"/>
    <w:rsid w:val="00F05DC0"/>
    <w:rsid w:val="00F13ED0"/>
    <w:rsid w:val="00F15401"/>
    <w:rsid w:val="00F170C2"/>
    <w:rsid w:val="00F2280E"/>
    <w:rsid w:val="00F24F77"/>
    <w:rsid w:val="00F254CE"/>
    <w:rsid w:val="00F30997"/>
    <w:rsid w:val="00F320E1"/>
    <w:rsid w:val="00F37671"/>
    <w:rsid w:val="00F410CB"/>
    <w:rsid w:val="00F43188"/>
    <w:rsid w:val="00F47685"/>
    <w:rsid w:val="00F51CD0"/>
    <w:rsid w:val="00F52351"/>
    <w:rsid w:val="00F53191"/>
    <w:rsid w:val="00F54F59"/>
    <w:rsid w:val="00F62425"/>
    <w:rsid w:val="00F6607C"/>
    <w:rsid w:val="00F66EA9"/>
    <w:rsid w:val="00F7005F"/>
    <w:rsid w:val="00F77332"/>
    <w:rsid w:val="00F834CF"/>
    <w:rsid w:val="00F83E90"/>
    <w:rsid w:val="00F848DC"/>
    <w:rsid w:val="00F84BE9"/>
    <w:rsid w:val="00F915B6"/>
    <w:rsid w:val="00F947B9"/>
    <w:rsid w:val="00FA2AAE"/>
    <w:rsid w:val="00FA3BE5"/>
    <w:rsid w:val="00FA75DC"/>
    <w:rsid w:val="00FB1E1F"/>
    <w:rsid w:val="00FB5EE0"/>
    <w:rsid w:val="00FC0131"/>
    <w:rsid w:val="00FC2BD7"/>
    <w:rsid w:val="00FC3862"/>
    <w:rsid w:val="00FC516C"/>
    <w:rsid w:val="00FD4E1C"/>
    <w:rsid w:val="00FE0AC7"/>
    <w:rsid w:val="00FE23CA"/>
    <w:rsid w:val="00FE3A14"/>
    <w:rsid w:val="00FE5269"/>
    <w:rsid w:val="00FF1B85"/>
    <w:rsid w:val="00FF4514"/>
    <w:rsid w:val="00FF7B4C"/>
    <w:rsid w:val="00FF7CC3"/>
    <w:rsid w:val="01E3CB9B"/>
    <w:rsid w:val="073DAE75"/>
    <w:rsid w:val="0AF3F68B"/>
    <w:rsid w:val="10624870"/>
    <w:rsid w:val="1E23FE13"/>
    <w:rsid w:val="2C1C2177"/>
    <w:rsid w:val="316AE2EA"/>
    <w:rsid w:val="33761849"/>
    <w:rsid w:val="3A2A45E1"/>
    <w:rsid w:val="6406B28D"/>
    <w:rsid w:val="6A5190A4"/>
    <w:rsid w:val="6DDD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B602"/>
  <w15:chartTrackingRefBased/>
  <w15:docId w15:val="{70FEE841-7600-432B-92D7-1FD7F77D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0317"/>
    <w:rPr>
      <w:sz w:val="16"/>
      <w:szCs w:val="16"/>
    </w:rPr>
  </w:style>
  <w:style w:type="paragraph" w:styleId="CommentText">
    <w:name w:val="annotation text"/>
    <w:basedOn w:val="Normal"/>
    <w:link w:val="CommentTextChar"/>
    <w:uiPriority w:val="99"/>
    <w:semiHidden/>
    <w:unhideWhenUsed/>
    <w:rsid w:val="008D0317"/>
    <w:pPr>
      <w:spacing w:line="240" w:lineRule="auto"/>
    </w:pPr>
    <w:rPr>
      <w:sz w:val="20"/>
      <w:szCs w:val="20"/>
    </w:rPr>
  </w:style>
  <w:style w:type="character" w:customStyle="1" w:styleId="CommentTextChar">
    <w:name w:val="Comment Text Char"/>
    <w:basedOn w:val="DefaultParagraphFont"/>
    <w:link w:val="CommentText"/>
    <w:uiPriority w:val="99"/>
    <w:semiHidden/>
    <w:rsid w:val="008D0317"/>
    <w:rPr>
      <w:sz w:val="20"/>
      <w:szCs w:val="20"/>
    </w:rPr>
  </w:style>
  <w:style w:type="paragraph" w:styleId="CommentSubject">
    <w:name w:val="annotation subject"/>
    <w:basedOn w:val="CommentText"/>
    <w:next w:val="CommentText"/>
    <w:link w:val="CommentSubjectChar"/>
    <w:uiPriority w:val="99"/>
    <w:semiHidden/>
    <w:unhideWhenUsed/>
    <w:rsid w:val="008D0317"/>
    <w:rPr>
      <w:b/>
      <w:bCs/>
    </w:rPr>
  </w:style>
  <w:style w:type="character" w:customStyle="1" w:styleId="CommentSubjectChar">
    <w:name w:val="Comment Subject Char"/>
    <w:basedOn w:val="CommentTextChar"/>
    <w:link w:val="CommentSubject"/>
    <w:uiPriority w:val="99"/>
    <w:semiHidden/>
    <w:rsid w:val="008D0317"/>
    <w:rPr>
      <w:b/>
      <w:bCs/>
      <w:sz w:val="20"/>
      <w:szCs w:val="20"/>
    </w:rPr>
  </w:style>
  <w:style w:type="paragraph" w:styleId="BalloonText">
    <w:name w:val="Balloon Text"/>
    <w:basedOn w:val="Normal"/>
    <w:link w:val="BalloonTextChar"/>
    <w:uiPriority w:val="99"/>
    <w:semiHidden/>
    <w:unhideWhenUsed/>
    <w:rsid w:val="008D0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317"/>
    <w:rPr>
      <w:rFonts w:ascii="Segoe UI" w:hAnsi="Segoe UI" w:cs="Segoe UI"/>
      <w:sz w:val="18"/>
      <w:szCs w:val="18"/>
    </w:rPr>
  </w:style>
  <w:style w:type="paragraph" w:styleId="ListParagraph">
    <w:name w:val="List Paragraph"/>
    <w:basedOn w:val="Normal"/>
    <w:uiPriority w:val="34"/>
    <w:qFormat/>
    <w:rsid w:val="00455A80"/>
    <w:pPr>
      <w:ind w:left="720"/>
      <w:contextualSpacing/>
    </w:pPr>
  </w:style>
  <w:style w:type="paragraph" w:styleId="Caption">
    <w:name w:val="caption"/>
    <w:basedOn w:val="Normal"/>
    <w:next w:val="Normal"/>
    <w:uiPriority w:val="35"/>
    <w:unhideWhenUsed/>
    <w:qFormat/>
    <w:rsid w:val="00350F65"/>
    <w:pPr>
      <w:spacing w:after="200" w:line="240" w:lineRule="auto"/>
    </w:pPr>
    <w:rPr>
      <w:i/>
      <w:iCs/>
      <w:color w:val="44546A" w:themeColor="text2"/>
      <w:sz w:val="18"/>
      <w:szCs w:val="18"/>
    </w:rPr>
  </w:style>
  <w:style w:type="paragraph" w:styleId="Revision">
    <w:name w:val="Revision"/>
    <w:hidden/>
    <w:uiPriority w:val="99"/>
    <w:semiHidden/>
    <w:rsid w:val="00E752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3066">
      <w:bodyDiv w:val="1"/>
      <w:marLeft w:val="0"/>
      <w:marRight w:val="0"/>
      <w:marTop w:val="0"/>
      <w:marBottom w:val="0"/>
      <w:divBdr>
        <w:top w:val="none" w:sz="0" w:space="0" w:color="auto"/>
        <w:left w:val="none" w:sz="0" w:space="0" w:color="auto"/>
        <w:bottom w:val="none" w:sz="0" w:space="0" w:color="auto"/>
        <w:right w:val="none" w:sz="0" w:space="0" w:color="auto"/>
      </w:divBdr>
    </w:div>
    <w:div w:id="196895650">
      <w:bodyDiv w:val="1"/>
      <w:marLeft w:val="0"/>
      <w:marRight w:val="0"/>
      <w:marTop w:val="0"/>
      <w:marBottom w:val="0"/>
      <w:divBdr>
        <w:top w:val="none" w:sz="0" w:space="0" w:color="auto"/>
        <w:left w:val="none" w:sz="0" w:space="0" w:color="auto"/>
        <w:bottom w:val="none" w:sz="0" w:space="0" w:color="auto"/>
        <w:right w:val="none" w:sz="0" w:space="0" w:color="auto"/>
      </w:divBdr>
    </w:div>
    <w:div w:id="204176268">
      <w:bodyDiv w:val="1"/>
      <w:marLeft w:val="0"/>
      <w:marRight w:val="0"/>
      <w:marTop w:val="0"/>
      <w:marBottom w:val="0"/>
      <w:divBdr>
        <w:top w:val="none" w:sz="0" w:space="0" w:color="auto"/>
        <w:left w:val="none" w:sz="0" w:space="0" w:color="auto"/>
        <w:bottom w:val="none" w:sz="0" w:space="0" w:color="auto"/>
        <w:right w:val="none" w:sz="0" w:space="0" w:color="auto"/>
      </w:divBdr>
    </w:div>
    <w:div w:id="619144043">
      <w:bodyDiv w:val="1"/>
      <w:marLeft w:val="0"/>
      <w:marRight w:val="0"/>
      <w:marTop w:val="0"/>
      <w:marBottom w:val="0"/>
      <w:divBdr>
        <w:top w:val="none" w:sz="0" w:space="0" w:color="auto"/>
        <w:left w:val="none" w:sz="0" w:space="0" w:color="auto"/>
        <w:bottom w:val="none" w:sz="0" w:space="0" w:color="auto"/>
        <w:right w:val="none" w:sz="0" w:space="0" w:color="auto"/>
      </w:divBdr>
    </w:div>
    <w:div w:id="622813025">
      <w:bodyDiv w:val="1"/>
      <w:marLeft w:val="0"/>
      <w:marRight w:val="0"/>
      <w:marTop w:val="0"/>
      <w:marBottom w:val="0"/>
      <w:divBdr>
        <w:top w:val="none" w:sz="0" w:space="0" w:color="auto"/>
        <w:left w:val="none" w:sz="0" w:space="0" w:color="auto"/>
        <w:bottom w:val="none" w:sz="0" w:space="0" w:color="auto"/>
        <w:right w:val="none" w:sz="0" w:space="0" w:color="auto"/>
      </w:divBdr>
    </w:div>
    <w:div w:id="694623258">
      <w:bodyDiv w:val="1"/>
      <w:marLeft w:val="0"/>
      <w:marRight w:val="0"/>
      <w:marTop w:val="0"/>
      <w:marBottom w:val="0"/>
      <w:divBdr>
        <w:top w:val="none" w:sz="0" w:space="0" w:color="auto"/>
        <w:left w:val="none" w:sz="0" w:space="0" w:color="auto"/>
        <w:bottom w:val="none" w:sz="0" w:space="0" w:color="auto"/>
        <w:right w:val="none" w:sz="0" w:space="0" w:color="auto"/>
      </w:divBdr>
    </w:div>
    <w:div w:id="766803502">
      <w:bodyDiv w:val="1"/>
      <w:marLeft w:val="0"/>
      <w:marRight w:val="0"/>
      <w:marTop w:val="0"/>
      <w:marBottom w:val="0"/>
      <w:divBdr>
        <w:top w:val="none" w:sz="0" w:space="0" w:color="auto"/>
        <w:left w:val="none" w:sz="0" w:space="0" w:color="auto"/>
        <w:bottom w:val="none" w:sz="0" w:space="0" w:color="auto"/>
        <w:right w:val="none" w:sz="0" w:space="0" w:color="auto"/>
      </w:divBdr>
    </w:div>
    <w:div w:id="815876888">
      <w:bodyDiv w:val="1"/>
      <w:marLeft w:val="0"/>
      <w:marRight w:val="0"/>
      <w:marTop w:val="0"/>
      <w:marBottom w:val="0"/>
      <w:divBdr>
        <w:top w:val="none" w:sz="0" w:space="0" w:color="auto"/>
        <w:left w:val="none" w:sz="0" w:space="0" w:color="auto"/>
        <w:bottom w:val="none" w:sz="0" w:space="0" w:color="auto"/>
        <w:right w:val="none" w:sz="0" w:space="0" w:color="auto"/>
      </w:divBdr>
    </w:div>
    <w:div w:id="845708377">
      <w:bodyDiv w:val="1"/>
      <w:marLeft w:val="0"/>
      <w:marRight w:val="0"/>
      <w:marTop w:val="0"/>
      <w:marBottom w:val="0"/>
      <w:divBdr>
        <w:top w:val="none" w:sz="0" w:space="0" w:color="auto"/>
        <w:left w:val="none" w:sz="0" w:space="0" w:color="auto"/>
        <w:bottom w:val="none" w:sz="0" w:space="0" w:color="auto"/>
        <w:right w:val="none" w:sz="0" w:space="0" w:color="auto"/>
      </w:divBdr>
    </w:div>
    <w:div w:id="962730112">
      <w:bodyDiv w:val="1"/>
      <w:marLeft w:val="0"/>
      <w:marRight w:val="0"/>
      <w:marTop w:val="0"/>
      <w:marBottom w:val="0"/>
      <w:divBdr>
        <w:top w:val="none" w:sz="0" w:space="0" w:color="auto"/>
        <w:left w:val="none" w:sz="0" w:space="0" w:color="auto"/>
        <w:bottom w:val="none" w:sz="0" w:space="0" w:color="auto"/>
        <w:right w:val="none" w:sz="0" w:space="0" w:color="auto"/>
      </w:divBdr>
    </w:div>
    <w:div w:id="1001467944">
      <w:bodyDiv w:val="1"/>
      <w:marLeft w:val="0"/>
      <w:marRight w:val="0"/>
      <w:marTop w:val="0"/>
      <w:marBottom w:val="0"/>
      <w:divBdr>
        <w:top w:val="none" w:sz="0" w:space="0" w:color="auto"/>
        <w:left w:val="none" w:sz="0" w:space="0" w:color="auto"/>
        <w:bottom w:val="none" w:sz="0" w:space="0" w:color="auto"/>
        <w:right w:val="none" w:sz="0" w:space="0" w:color="auto"/>
      </w:divBdr>
    </w:div>
    <w:div w:id="1180120202">
      <w:bodyDiv w:val="1"/>
      <w:marLeft w:val="0"/>
      <w:marRight w:val="0"/>
      <w:marTop w:val="0"/>
      <w:marBottom w:val="0"/>
      <w:divBdr>
        <w:top w:val="none" w:sz="0" w:space="0" w:color="auto"/>
        <w:left w:val="none" w:sz="0" w:space="0" w:color="auto"/>
        <w:bottom w:val="none" w:sz="0" w:space="0" w:color="auto"/>
        <w:right w:val="none" w:sz="0" w:space="0" w:color="auto"/>
      </w:divBdr>
    </w:div>
    <w:div w:id="1258750312">
      <w:bodyDiv w:val="1"/>
      <w:marLeft w:val="0"/>
      <w:marRight w:val="0"/>
      <w:marTop w:val="0"/>
      <w:marBottom w:val="0"/>
      <w:divBdr>
        <w:top w:val="none" w:sz="0" w:space="0" w:color="auto"/>
        <w:left w:val="none" w:sz="0" w:space="0" w:color="auto"/>
        <w:bottom w:val="none" w:sz="0" w:space="0" w:color="auto"/>
        <w:right w:val="none" w:sz="0" w:space="0" w:color="auto"/>
      </w:divBdr>
    </w:div>
    <w:div w:id="2026128613">
      <w:bodyDiv w:val="1"/>
      <w:marLeft w:val="0"/>
      <w:marRight w:val="0"/>
      <w:marTop w:val="0"/>
      <w:marBottom w:val="0"/>
      <w:divBdr>
        <w:top w:val="none" w:sz="0" w:space="0" w:color="auto"/>
        <w:left w:val="none" w:sz="0" w:space="0" w:color="auto"/>
        <w:bottom w:val="none" w:sz="0" w:space="0" w:color="auto"/>
        <w:right w:val="none" w:sz="0" w:space="0" w:color="auto"/>
      </w:divBdr>
    </w:div>
    <w:div w:id="2109039140">
      <w:bodyDiv w:val="1"/>
      <w:marLeft w:val="0"/>
      <w:marRight w:val="0"/>
      <w:marTop w:val="0"/>
      <w:marBottom w:val="0"/>
      <w:divBdr>
        <w:top w:val="none" w:sz="0" w:space="0" w:color="auto"/>
        <w:left w:val="none" w:sz="0" w:space="0" w:color="auto"/>
        <w:bottom w:val="none" w:sz="0" w:space="0" w:color="auto"/>
        <w:right w:val="none" w:sz="0" w:space="0" w:color="auto"/>
      </w:divBdr>
    </w:div>
    <w:div w:id="21451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09C279-77EE-4C87-8E8D-DE2D5221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Boomhower</dc:creator>
  <cp:keywords/>
  <dc:description/>
  <cp:lastModifiedBy>Andrew Abbott</cp:lastModifiedBy>
  <cp:revision>2</cp:revision>
  <cp:lastPrinted>2016-11-12T22:35:00Z</cp:lastPrinted>
  <dcterms:created xsi:type="dcterms:W3CDTF">2016-11-12T22:40:00Z</dcterms:created>
  <dcterms:modified xsi:type="dcterms:W3CDTF">2016-11-12T22:40:00Z</dcterms:modified>
</cp:coreProperties>
</file>