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2FF1" w14:textId="5F3853C3" w:rsidR="005B434B" w:rsidRDefault="00E76F47" w:rsidP="002F5B40">
      <w:pPr>
        <w:pStyle w:val="Titledocument"/>
      </w:pPr>
      <w:r w:rsidRPr="00E76F47">
        <w:t>Reproducing "Topic Modeling on Podcast Short-Text Metadata"</w:t>
      </w:r>
    </w:p>
    <w:p w14:paraId="4F3799C5" w14:textId="11A431B1" w:rsidR="005B434B" w:rsidRPr="00EE4FEB" w:rsidRDefault="00E76F47" w:rsidP="00E76F47">
      <w:pPr>
        <w:pStyle w:val="Authors"/>
        <w:rPr>
          <w:rFonts w:eastAsiaTheme="minorEastAsia"/>
        </w:rPr>
      </w:pPr>
      <w:r w:rsidRPr="00E76F47">
        <w:rPr>
          <w:rFonts w:eastAsiaTheme="minorEastAsia"/>
          <w:caps w:val="0"/>
        </w:rPr>
        <w:t>Authors: Anabel Dautović, Medak Mirta, Sharma Hrithik, Bosse Behrens, Felix Neuwirth</w:t>
      </w:r>
    </w:p>
    <w:p w14:paraId="2312EE6A" w14:textId="1BA4432C" w:rsidR="005B434B" w:rsidRPr="001D3CDD" w:rsidRDefault="005B434B" w:rsidP="005B434B">
      <w:pPr>
        <w:pStyle w:val="Abstract"/>
      </w:pPr>
      <w:r w:rsidRPr="00D05B93">
        <w:rPr>
          <w:rFonts w:hint="eastAsia"/>
        </w:rPr>
        <w:t>this is the abstract</w:t>
      </w:r>
      <w:r w:rsidR="003756D0">
        <w:t xml:space="preserve"> </w:t>
      </w:r>
    </w:p>
    <w:p w14:paraId="49BE2347" w14:textId="643FE5F0" w:rsidR="005B434B" w:rsidRPr="00B25EC5" w:rsidRDefault="005B434B" w:rsidP="005B434B">
      <w:pPr>
        <w:pStyle w:val="KeyWords"/>
        <w:rPr>
          <w:b/>
          <w:szCs w:val="18"/>
        </w:rPr>
      </w:pPr>
      <w:r>
        <w:rPr>
          <w:rStyle w:val="KeyWordHeadchar"/>
          <w:b/>
          <w:szCs w:val="18"/>
        </w:rPr>
        <w:t xml:space="preserve">Additional Keywords and Phrases: </w:t>
      </w:r>
      <w:r w:rsidR="00E76F47">
        <w:t>Podcast short-text metadata, …</w:t>
      </w:r>
    </w:p>
    <w:p w14:paraId="281FB0C6" w14:textId="77777777" w:rsidR="005B434B" w:rsidRDefault="005B434B" w:rsidP="005B434B">
      <w:pPr>
        <w:pStyle w:val="Head1"/>
        <w:tabs>
          <w:tab w:val="clear" w:pos="360"/>
        </w:tabs>
        <w:ind w:left="432" w:hanging="432"/>
      </w:pPr>
      <w:r>
        <w:t>Introduction</w:t>
      </w:r>
    </w:p>
    <w:p w14:paraId="3D98A789" w14:textId="6B0E1D03" w:rsidR="00E76F47" w:rsidRDefault="00E76F47" w:rsidP="00E76F47">
      <w:pPr>
        <w:pStyle w:val="Para"/>
        <w:ind w:firstLine="0"/>
      </w:pPr>
      <w:r>
        <w:t>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14:paraId="24601920" w14:textId="77777777" w:rsidR="00E76F47" w:rsidRDefault="00E76F47" w:rsidP="00E76F47">
      <w:pPr>
        <w:pStyle w:val="Para"/>
      </w:pPr>
      <w:r>
        <w:t>To address these challenges, Valero et al., in their ECIR 2022 study, "Topic Modeling on Podcast Short-Text Metadata" [1], introduced the Named-Entity-informed Corpus Embedding (NEiCE) model. NEiCE extends the CluWords approach by incorporating Named Entities (NEs) into a Non-negative Matrix Factorization (NMF) framework. This integration enables the model to leverage entity-related semantic information, improving topic coherence compared to state-of-the-art (SOTA) methods.</w:t>
      </w:r>
    </w:p>
    <w:p w14:paraId="15B098C0" w14:textId="77777777" w:rsidR="00E76F47" w:rsidRDefault="00E76F47" w:rsidP="00E76F47">
      <w:pPr>
        <w:pStyle w:val="Para"/>
      </w:pPr>
      <w:r>
        <w:t>The original study evaluated NEiCE on three podcast datasets: Deezer, Spotify, and iTunes. The methodology included four key steps: extracting and linking named entities to Wikipedia entries using the Radboud Entity Linker (REL), preprocessing metadata to filter non-English entries with fastText and adapt JSON outputs for NEiCE, applying the NEiCE model to extend metadata with semantically related words, and evaluating topic coherence using the CV metric with Palmetto and Wikipedia as the external corpus.</w:t>
      </w:r>
    </w:p>
    <w:p w14:paraId="731F50F2" w14:textId="0A8A9AFF" w:rsidR="005B434B" w:rsidRDefault="00E76F47" w:rsidP="00E76F47">
      <w:pPr>
        <w:pStyle w:val="Para"/>
      </w:pPr>
      <w:r>
        <w:t>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modeling.</w:t>
      </w:r>
    </w:p>
    <w:p w14:paraId="1360DFBD" w14:textId="06138389" w:rsidR="005B434B" w:rsidRDefault="00E76F47" w:rsidP="005B434B">
      <w:pPr>
        <w:pStyle w:val="Head1"/>
        <w:tabs>
          <w:tab w:val="clear" w:pos="360"/>
        </w:tabs>
        <w:ind w:left="432" w:hanging="432"/>
      </w:pPr>
      <w:r>
        <w:t>Methodology</w:t>
      </w:r>
    </w:p>
    <w:p w14:paraId="06742131" w14:textId="771DD15B" w:rsidR="005B434B" w:rsidRPr="00976834" w:rsidRDefault="00E76F47" w:rsidP="005B434B">
      <w:pPr>
        <w:pStyle w:val="PostHeadPara"/>
      </w:pPr>
      <w:r w:rsidRPr="00E76F47">
        <w:t>Our reproduction followed the following strategy. First, we thoroughly reviewed the original methodology, datasets, and code. We updated deprecated code, resolved dataset discrepancies, and automated parameter tuning to test different configurations of alpha_word and alpha_ent. Computational experiments were conducted using Docker containers to ensure consistent execution environments, with evaluations comparing coherence scores to the original study.</w:t>
      </w:r>
    </w:p>
    <w:p w14:paraId="380900C7" w14:textId="77777777" w:rsidR="00E76F47" w:rsidRDefault="00E76F47" w:rsidP="007B1893">
      <w:pPr>
        <w:pStyle w:val="Head2"/>
        <w:tabs>
          <w:tab w:val="clear" w:pos="360"/>
        </w:tabs>
      </w:pPr>
      <w:r>
        <w:t>Data</w:t>
      </w:r>
    </w:p>
    <w:p w14:paraId="70E9A004" w14:textId="7225DBEA" w:rsidR="00E76F47" w:rsidRDefault="00E76F47" w:rsidP="00E76F47">
      <w:pPr>
        <w:pStyle w:val="Para"/>
        <w:ind w:firstLine="0"/>
        <w:rPr>
          <w:lang w:eastAsia="en-US"/>
        </w:rPr>
      </w:pPr>
      <w:r w:rsidRPr="00E76F47">
        <w:rPr>
          <w:lang w:eastAsia="en-US"/>
        </w:rPr>
        <w:t xml:space="preserve">The experiments were conducted using three distinct datasets, each comprising podcast metadata such as titles and descriptions in English. The Deezer dataset was created by the original authors and is publicly accessible. The iTunes </w:t>
      </w:r>
      <w:r w:rsidRPr="00E76F47">
        <w:rPr>
          <w:lang w:eastAsia="en-US"/>
        </w:rPr>
        <w:lastRenderedPageBreak/>
        <w:t>dataset is also still accessible and included in our analysis. Lastly, the Spotify dataset, sourced from Spotify, is no longer available since the authors have stopped granting access requests</w:t>
      </w:r>
      <w:r>
        <w:rPr>
          <w:lang w:eastAsia="en-US"/>
        </w:rPr>
        <w:t>.</w:t>
      </w:r>
    </w:p>
    <w:p w14:paraId="7AC61543" w14:textId="717ADEAD" w:rsidR="00E76F47" w:rsidRDefault="00E76F47" w:rsidP="00E76F47">
      <w:pPr>
        <w:pStyle w:val="Head2"/>
        <w:tabs>
          <w:tab w:val="clear" w:pos="360"/>
        </w:tabs>
      </w:pPr>
      <w:r>
        <w:t>Experiment setup</w:t>
      </w:r>
    </w:p>
    <w:p w14:paraId="7C5A6CAF" w14:textId="48697E4A" w:rsidR="000151E2" w:rsidRDefault="0082282B" w:rsidP="000151E2">
      <w:pPr>
        <w:pStyle w:val="Para"/>
        <w:rPr>
          <w:lang w:eastAsia="en-US"/>
        </w:rPr>
      </w:pPr>
      <w:r>
        <w:rPr>
          <w:lang w:eastAsia="en-US"/>
        </w:rPr>
        <w:t>The experiment setup is described in detail in the README file in our repository. This file contains much of the original README file, with additional points we have discovered while reproducing the experiment. It is important to state that we did not reproduce the experiments concerning the other baselines, as that required reproducing four additional papers. We focused on results of the model “NEiCE”, developed by the authors of the examined paper.</w:t>
      </w:r>
      <w:r w:rsidR="002E4344">
        <w:rPr>
          <w:lang w:eastAsia="en-US"/>
        </w:rPr>
        <w:t xml:space="preserve"> In the paper, the results are found in Table 5.</w:t>
      </w:r>
    </w:p>
    <w:p w14:paraId="533C9CFE" w14:textId="030B0CAD" w:rsidR="0082282B" w:rsidRDefault="0082282B" w:rsidP="0082282B">
      <w:pPr>
        <w:pStyle w:val="Head3"/>
      </w:pPr>
      <w:r>
        <w:t xml:space="preserve"> Installation and downloads</w:t>
      </w:r>
    </w:p>
    <w:p w14:paraId="6DA88ED3" w14:textId="7B991926" w:rsidR="0082282B" w:rsidRDefault="0082282B" w:rsidP="0082282B">
      <w:pPr>
        <w:pStyle w:val="Para"/>
        <w:rPr>
          <w:lang w:eastAsia="en-US"/>
        </w:rPr>
      </w:pPr>
      <w:r>
        <w:rPr>
          <w:lang w:eastAsia="en-US"/>
        </w:rPr>
        <w:t xml:space="preserve">Usage of Docker containers made the requirements installation simple. Two Docker images exist: </w:t>
      </w:r>
      <w:r>
        <w:rPr>
          <w:i/>
          <w:iCs/>
          <w:lang w:eastAsia="en-US"/>
        </w:rPr>
        <w:t>experiment</w:t>
      </w:r>
      <w:r>
        <w:rPr>
          <w:lang w:eastAsia="en-US"/>
        </w:rPr>
        <w:t xml:space="preserve"> image is used to run experiments’ code with Python environment and </w:t>
      </w:r>
      <w:r>
        <w:rPr>
          <w:i/>
          <w:iCs/>
          <w:lang w:eastAsia="en-US"/>
        </w:rPr>
        <w:t xml:space="preserve">evaluation </w:t>
      </w:r>
      <w:r>
        <w:rPr>
          <w:lang w:eastAsia="en-US"/>
        </w:rPr>
        <w:t xml:space="preserve">image is used for evaluation in Java environment. </w:t>
      </w:r>
      <w:r w:rsidR="002E4344">
        <w:rPr>
          <w:lang w:eastAsia="en-US"/>
        </w:rPr>
        <w:t>The Deezer dataset consists of two columns: titles and descriptions. The original iTunes dataset contains more columns, but they were deleted to obtain the same structure for both datasets.</w:t>
      </w:r>
    </w:p>
    <w:p w14:paraId="4C2616ED" w14:textId="0B92D3F9" w:rsidR="002E4344" w:rsidRDefault="002E4344" w:rsidP="002E4344">
      <w:pPr>
        <w:pStyle w:val="Head3"/>
      </w:pPr>
      <w:r>
        <w:t xml:space="preserve"> Entity linking</w:t>
      </w:r>
    </w:p>
    <w:p w14:paraId="553ABDB3" w14:textId="18BE0D70" w:rsidR="002E4344" w:rsidRDefault="002E4344" w:rsidP="002E4344">
      <w:pPr>
        <w:pStyle w:val="Para"/>
        <w:rPr>
          <w:lang w:eastAsia="en-US"/>
        </w:rPr>
      </w:pPr>
      <w:r>
        <w:rPr>
          <w:lang w:eastAsia="en-US"/>
        </w:rPr>
        <w:t xml:space="preserve">In section 3.2 of the paper the preprocessing step is described – extracting and linking named entities (NEs) from podcast metadata. Here we downloaded the pre-trained entity linker, which takes more than 60GB of memory. Then the JSON file containing NEs extracted and linked is generated. </w:t>
      </w:r>
    </w:p>
    <w:p w14:paraId="1F4855FF" w14:textId="307324A2" w:rsidR="002E4344" w:rsidRDefault="002E4344" w:rsidP="002E4344">
      <w:pPr>
        <w:pStyle w:val="Head3"/>
      </w:pPr>
      <w:r>
        <w:t xml:space="preserve"> Data preprocessing</w:t>
      </w:r>
    </w:p>
    <w:p w14:paraId="5FD87912" w14:textId="2342C1BB" w:rsidR="002E4344" w:rsidRDefault="004F7BE1" w:rsidP="002E4344">
      <w:pPr>
        <w:pStyle w:val="Para"/>
        <w:rPr>
          <w:lang w:eastAsia="en-US"/>
        </w:rPr>
      </w:pPr>
      <w:r>
        <w:rPr>
          <w:lang w:eastAsia="en-US"/>
        </w:rPr>
        <w:t>The pre-trained Wikipedia2Vec model was downloaded. Then the preprocessing was done in two steps. The first step includes the basic text preprocessing, such as tokenization, removing stopwords, etc. The second step generates the output in which the single words that are the most similar to NEs extracted from each podcast title and description are written. For this step the parameter alpha_ent is set. We conducted an experiment with two different values for alpha_ent, as it was done in the paper. All other parameters used were the same as in the paper.</w:t>
      </w:r>
    </w:p>
    <w:p w14:paraId="088508D1" w14:textId="7BF0201C" w:rsidR="004F7BE1" w:rsidRDefault="004F7BE1" w:rsidP="004F7BE1">
      <w:pPr>
        <w:pStyle w:val="Head3"/>
      </w:pPr>
      <w:r>
        <w:t xml:space="preserve"> NEiCE model</w:t>
      </w:r>
    </w:p>
    <w:p w14:paraId="59ECE867" w14:textId="4A2420EA" w:rsidR="004F7BE1" w:rsidRPr="004F7BE1" w:rsidRDefault="004F7BE1" w:rsidP="004F7BE1">
      <w:pPr>
        <w:pStyle w:val="ParaContinue"/>
        <w:rPr>
          <w:lang w:eastAsia="en-US"/>
        </w:rPr>
      </w:pPr>
      <w:r>
        <w:rPr>
          <w:lang w:eastAsia="en-US"/>
        </w:rPr>
        <w:t xml:space="preserve">We apply the NEiCE model to the extended preprocess data we obtained from the previous steps. Here, different values for parameters n_topics and alpha_word were used in order to match the results from the paper. Script run_experiments.py was written in order to </w:t>
      </w:r>
      <w:r w:rsidR="00F40832">
        <w:rPr>
          <w:lang w:eastAsia="en-US"/>
        </w:rPr>
        <w:t>run the experiments more efficiently, i.e. automatically change the parameter alpha_ent.</w:t>
      </w:r>
    </w:p>
    <w:p w14:paraId="7BA065C5" w14:textId="459A227A" w:rsidR="004F7BE1" w:rsidRDefault="004F7BE1" w:rsidP="004F7BE1">
      <w:pPr>
        <w:pStyle w:val="Head3"/>
      </w:pPr>
      <w:r>
        <w:t xml:space="preserve"> Evaluation</w:t>
      </w:r>
    </w:p>
    <w:p w14:paraId="61F4D4EE" w14:textId="0A427C7F" w:rsidR="004F7BE1" w:rsidRDefault="004F7BE1" w:rsidP="004F7BE1">
      <w:pPr>
        <w:pStyle w:val="Para"/>
        <w:rPr>
          <w:lang w:eastAsia="en-US"/>
        </w:rPr>
      </w:pPr>
      <w:r>
        <w:rPr>
          <w:lang w:eastAsia="en-US"/>
        </w:rPr>
        <w:t xml:space="preserve">The indices of word co-occurrences in Wikipedia was downloaded and used for evaluation. </w:t>
      </w:r>
      <w:r w:rsidR="00F40832">
        <w:rPr>
          <w:lang w:eastAsia="en-US"/>
        </w:rPr>
        <w:t xml:space="preserve">Script evaluate_experiments.py was written to evaluate the experiments for different combinations of parameters. CV score for each combination of chosen parameters is obtained. </w:t>
      </w:r>
    </w:p>
    <w:p w14:paraId="299E4AEE" w14:textId="6A102522" w:rsidR="00F40832" w:rsidRDefault="00F40832" w:rsidP="00F40832">
      <w:pPr>
        <w:pStyle w:val="ParaContinue"/>
        <w:ind w:firstLine="0"/>
        <w:rPr>
          <w:lang w:eastAsia="en-US"/>
        </w:rPr>
      </w:pPr>
    </w:p>
    <w:p w14:paraId="69D345D4" w14:textId="33382667" w:rsidR="00F40832" w:rsidRPr="00F40832" w:rsidRDefault="00F40832" w:rsidP="00F40832">
      <w:pPr>
        <w:pStyle w:val="ParaContinue"/>
        <w:ind w:firstLine="0"/>
        <w:rPr>
          <w:lang w:eastAsia="en-US"/>
        </w:rPr>
      </w:pPr>
      <w:r>
        <w:rPr>
          <w:lang w:eastAsia="en-US"/>
        </w:rPr>
        <w:t xml:space="preserve">Steps 2.2.3 – 2.2.5 were repeated three times in order to perform the test on the means, to statistically compare the results with those in the paper. </w:t>
      </w:r>
    </w:p>
    <w:p w14:paraId="469604E4" w14:textId="15F34FA8" w:rsidR="0082282B" w:rsidRPr="0082282B" w:rsidRDefault="0082282B" w:rsidP="0082282B">
      <w:pPr>
        <w:pStyle w:val="ParaContinue"/>
        <w:ind w:firstLine="0"/>
        <w:rPr>
          <w:lang w:eastAsia="en-US"/>
        </w:rPr>
      </w:pPr>
    </w:p>
    <w:p w14:paraId="7BC10F99" w14:textId="1B2C3B45" w:rsidR="00F866AE" w:rsidRDefault="00F866AE" w:rsidP="00F866AE">
      <w:pPr>
        <w:pStyle w:val="Head1"/>
        <w:tabs>
          <w:tab w:val="clear" w:pos="360"/>
        </w:tabs>
        <w:ind w:left="432" w:hanging="432"/>
      </w:pPr>
      <w:r>
        <w:lastRenderedPageBreak/>
        <w:t>Comparing The Results</w:t>
      </w:r>
    </w:p>
    <w:p w14:paraId="0BDB0086" w14:textId="5AD77FEF" w:rsidR="00D06545" w:rsidRDefault="00D06545" w:rsidP="00D06545">
      <w:pPr>
        <w:pStyle w:val="Para"/>
        <w:ind w:firstLine="0"/>
        <w:rPr>
          <w:lang w:eastAsia="en-US"/>
        </w:rPr>
      </w:pPr>
      <w:r>
        <w:rPr>
          <w:lang w:eastAsia="en-US"/>
        </w:rPr>
        <w:t xml:space="preserve">In the paper the researchers used topic coherence as their prime </w:t>
      </w:r>
      <w:r w:rsidR="00674628" w:rsidRPr="00674628">
        <w:rPr>
          <w:lang w:eastAsia="en-US"/>
        </w:rPr>
        <w:t xml:space="preserve">evaluation </w:t>
      </w:r>
      <w:r>
        <w:rPr>
          <w:lang w:eastAsia="en-US"/>
        </w:rPr>
        <w:t xml:space="preserve">metric. </w:t>
      </w:r>
      <w:r w:rsidR="00674628">
        <w:rPr>
          <w:lang w:eastAsia="en-US"/>
        </w:rPr>
        <w:t>This metric (also denoted as C</w:t>
      </w:r>
      <w:r w:rsidR="00674628" w:rsidRPr="00674628">
        <w:rPr>
          <w:vertAlign w:val="subscript"/>
          <w:lang w:eastAsia="en-US"/>
        </w:rPr>
        <w:t>V</w:t>
      </w:r>
      <w:r w:rsidR="00674628">
        <w:rPr>
          <w:lang w:eastAsia="en-US"/>
        </w:rPr>
        <w:t xml:space="preserve"> </w:t>
      </w:r>
      <w:r w:rsidR="00674628" w:rsidRPr="00674628">
        <w:rPr>
          <w:lang w:eastAsia="en-US"/>
        </w:rPr>
        <w:t xml:space="preserve">reflects the coherence or quality of a topic. A higher CV value </w:t>
      </w:r>
      <w:r w:rsidR="00600E0B">
        <w:rPr>
          <w:lang w:eastAsia="en-US"/>
        </w:rPr>
        <w:t xml:space="preserve">therefore </w:t>
      </w:r>
      <w:r w:rsidR="00674628" w:rsidRPr="00674628">
        <w:rPr>
          <w:lang w:eastAsia="en-US"/>
        </w:rPr>
        <w:t>indicates that the words in a topic tend to occur together more frequently, which means that the topic is more coherent and is likely to be a meaningful and interpretable topic.</w:t>
      </w:r>
      <w:r w:rsidR="00600E0B" w:rsidRPr="00600E0B">
        <w:t xml:space="preserve"> </w:t>
      </w:r>
      <w:r w:rsidR="00600E0B" w:rsidRPr="00600E0B">
        <w:rPr>
          <w:lang w:eastAsia="en-US"/>
        </w:rPr>
        <w:t>A low CV score means that the words in the topic are not closely related, i.e. the topic is less coherent and may be more difficult for people to understand.</w:t>
      </w:r>
      <w:r w:rsidR="00600E0B">
        <w:rPr>
          <w:lang w:eastAsia="en-US"/>
        </w:rPr>
        <w:t xml:space="preserve"> The researchers used Wikipedia as the external corpus to </w:t>
      </w:r>
      <w:r w:rsidR="00600E0B" w:rsidRPr="00600E0B">
        <w:rPr>
          <w:lang w:eastAsia="en-US"/>
        </w:rPr>
        <w:t>calculate</w:t>
      </w:r>
      <w:r w:rsidR="00600E0B">
        <w:rPr>
          <w:lang w:eastAsia="en-US"/>
        </w:rPr>
        <w:t xml:space="preserve"> C</w:t>
      </w:r>
      <w:r w:rsidR="00600E0B" w:rsidRPr="00674628">
        <w:rPr>
          <w:vertAlign w:val="subscript"/>
          <w:lang w:eastAsia="en-US"/>
        </w:rPr>
        <w:t>V</w:t>
      </w:r>
      <w:r w:rsidR="00600E0B">
        <w:rPr>
          <w:vertAlign w:val="subscript"/>
          <w:lang w:eastAsia="en-US"/>
        </w:rPr>
        <w:t xml:space="preserve"> </w:t>
      </w:r>
      <w:r w:rsidR="00600E0B">
        <w:rPr>
          <w:lang w:eastAsia="en-US"/>
        </w:rPr>
        <w:t>for each topic.</w:t>
      </w:r>
    </w:p>
    <w:p w14:paraId="5ED700DE" w14:textId="474B54EE" w:rsidR="00F866AE" w:rsidRPr="00F866AE" w:rsidRDefault="00F866AE" w:rsidP="00F866AE">
      <w:pPr>
        <w:pStyle w:val="Head2"/>
        <w:tabs>
          <w:tab w:val="clear" w:pos="360"/>
        </w:tabs>
      </w:pPr>
      <w:r>
        <w:t>Results</w:t>
      </w:r>
    </w:p>
    <w:p w14:paraId="71B8626B" w14:textId="68A65AB3" w:rsidR="00D06545" w:rsidRDefault="00EC4FFB" w:rsidP="00D06545">
      <w:pPr>
        <w:pStyle w:val="ParaContinue"/>
        <w:rPr>
          <w:rFonts w:ascii="Cambria Math" w:hAnsi="Cambria Math" w:cs="Cambria Math"/>
          <w:lang w:eastAsia="en-US"/>
        </w:rPr>
      </w:pPr>
      <w:r>
        <w:rPr>
          <w:lang w:eastAsia="en-US"/>
        </w:rPr>
        <w:t>The aim of this paper was to reproduce the results from the paper. In the paper the results for 8 different configurations of the NeiCE algorithm (</w:t>
      </w:r>
      <w:r w:rsidRPr="006C7A36">
        <w:rPr>
          <w:lang w:eastAsia="en-US"/>
        </w:rPr>
        <w:t>a</w:t>
      </w:r>
      <w:r w:rsidRPr="00EC4FFB">
        <w:rPr>
          <w:vertAlign w:val="superscript"/>
          <w:lang w:eastAsia="en-US"/>
        </w:rPr>
        <w:t>word</w:t>
      </w:r>
      <w:r>
        <w:rPr>
          <w:lang w:eastAsia="en-US"/>
        </w:rPr>
        <w:t xml:space="preserve"> </w:t>
      </w:r>
      <w:r w:rsidRPr="00A566B0">
        <w:rPr>
          <w:rFonts w:ascii="Cambria Math" w:hAnsi="Cambria Math" w:cs="Cambria Math"/>
          <w:lang w:eastAsia="en-US"/>
        </w:rPr>
        <w:t>∈</w:t>
      </w:r>
      <w:r w:rsidRPr="00A566B0">
        <w:rPr>
          <w:lang w:eastAsia="en-US"/>
        </w:rPr>
        <w:t xml:space="preserve"> {0.2, 0.3, 0.4, 0.5}</w:t>
      </w:r>
      <w:r>
        <w:rPr>
          <w:rFonts w:ascii="Cambria Math" w:hAnsi="Cambria Math" w:cs="Cambria Math"/>
          <w:lang w:eastAsia="en-US"/>
        </w:rPr>
        <w:t xml:space="preserve"> </w:t>
      </w:r>
      <w:r w:rsidR="00E476D5" w:rsidRPr="00A566B0">
        <w:rPr>
          <w:lang w:eastAsia="en-US"/>
        </w:rPr>
        <w:t>×</w:t>
      </w:r>
      <w:r w:rsidR="00E476D5">
        <w:rPr>
          <w:rFonts w:ascii="Cambria Math" w:hAnsi="Cambria Math" w:cs="Cambria Math"/>
          <w:lang w:eastAsia="en-US"/>
        </w:rPr>
        <w:t xml:space="preserve"> </w:t>
      </w:r>
      <w:r>
        <w:rPr>
          <w:lang w:eastAsia="en-US"/>
        </w:rPr>
        <w:t>a</w:t>
      </w:r>
      <w:r>
        <w:rPr>
          <w:vertAlign w:val="superscript"/>
          <w:lang w:eastAsia="en-US"/>
        </w:rPr>
        <w:t>ent</w:t>
      </w:r>
      <w:r>
        <w:rPr>
          <w:lang w:eastAsia="en-US"/>
        </w:rPr>
        <w:t xml:space="preserve"> </w:t>
      </w:r>
      <w:r w:rsidRPr="00EC4FFB">
        <w:rPr>
          <w:rFonts w:ascii="Cambria Math" w:hAnsi="Cambria Math" w:cs="Cambria Math"/>
          <w:lang w:eastAsia="en-US"/>
        </w:rPr>
        <w:t>∈</w:t>
      </w:r>
      <w:r>
        <w:rPr>
          <w:rFonts w:ascii="Cambria Math" w:hAnsi="Cambria Math" w:cs="Cambria Math"/>
          <w:lang w:eastAsia="en-US"/>
        </w:rPr>
        <w:t xml:space="preserve"> {0.3, 0.4}) with varying number of topics (K </w:t>
      </w:r>
      <w:r w:rsidRPr="00EC4FFB">
        <w:rPr>
          <w:rFonts w:ascii="Cambria Math" w:hAnsi="Cambria Math" w:cs="Cambria Math"/>
          <w:lang w:eastAsia="en-US"/>
        </w:rPr>
        <w:t>∈</w:t>
      </w:r>
      <w:r>
        <w:rPr>
          <w:rFonts w:ascii="Cambria Math" w:hAnsi="Cambria Math" w:cs="Cambria Math"/>
          <w:lang w:eastAsia="en-US"/>
        </w:rPr>
        <w:t xml:space="preserve"> {20, 50, 100, 200}) were measured. The results from the paper can be seen in Table 1.</w:t>
      </w:r>
    </w:p>
    <w:p w14:paraId="2BDFE7A8" w14:textId="77777777" w:rsidR="00C7592B" w:rsidRPr="00D06545" w:rsidRDefault="00C7592B" w:rsidP="00D06545">
      <w:pPr>
        <w:pStyle w:val="ParaContinue"/>
        <w:rPr>
          <w:lang w:eastAsia="en-US"/>
        </w:rPr>
      </w:pPr>
    </w:p>
    <w:p w14:paraId="0F07CDA1" w14:textId="3F6636ED" w:rsidR="00C7592B" w:rsidRDefault="00C7592B" w:rsidP="00600E0B">
      <w:pPr>
        <w:pStyle w:val="TableCaption"/>
      </w:pPr>
      <w:r>
        <w:t xml:space="preserve">Table </w:t>
      </w:r>
      <w:fldSimple w:instr=" SEQ Table \* ARABIC ">
        <w:r w:rsidR="00C561A2">
          <w:rPr>
            <w:noProof/>
          </w:rPr>
          <w:t>1</w:t>
        </w:r>
      </w:fldSimple>
      <w:r w:rsidRPr="00C73C34">
        <w:t>: The result of the e</w:t>
      </w:r>
      <w:r>
        <w:t>x</w:t>
      </w:r>
      <w:r w:rsidRPr="00C73C34">
        <w:t>periment presented in the paper</w:t>
      </w:r>
      <w:r w:rsidR="005209AA">
        <w:t>.</w:t>
      </w:r>
    </w:p>
    <w:tbl>
      <w:tblPr>
        <w:tblStyle w:val="Tabellenraster"/>
        <w:tblpPr w:leftFromText="141" w:rightFromText="141" w:vertAnchor="text" w:tblpY="222"/>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C7592B" w:rsidRPr="00772D8F" w14:paraId="4B49C65D" w14:textId="77777777" w:rsidTr="00C7592B">
        <w:trPr>
          <w:tblHeader/>
        </w:trPr>
        <w:tc>
          <w:tcPr>
            <w:tcW w:w="875" w:type="dxa"/>
            <w:tcBorders>
              <w:top w:val="single" w:sz="4" w:space="0" w:color="auto"/>
              <w:bottom w:val="single" w:sz="4" w:space="0" w:color="auto"/>
            </w:tcBorders>
          </w:tcPr>
          <w:p w14:paraId="6CA25A63" w14:textId="77777777" w:rsidR="00C7592B" w:rsidRPr="003B4AB8" w:rsidRDefault="00C7592B" w:rsidP="00C7592B">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2B728A57"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432078A"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6E583476"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E19252"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0B72C95"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5E360CF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A9C72D0"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3EED84E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39108EF9"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C7592B" w:rsidRPr="00772D8F" w14:paraId="4025DD52" w14:textId="77777777" w:rsidTr="00C7592B">
        <w:tc>
          <w:tcPr>
            <w:tcW w:w="875" w:type="dxa"/>
            <w:tcBorders>
              <w:top w:val="single" w:sz="4" w:space="0" w:color="auto"/>
            </w:tcBorders>
          </w:tcPr>
          <w:p w14:paraId="684BCACE" w14:textId="77777777" w:rsidR="00C7592B" w:rsidRPr="00772D8F" w:rsidRDefault="00C7592B" w:rsidP="00C7592B">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3EB025B1" w14:textId="77777777" w:rsidR="00C7592B" w:rsidRDefault="00C7592B" w:rsidP="00C7592B">
            <w:pPr>
              <w:pStyle w:val="TableCell"/>
              <w:ind w:firstLine="0"/>
            </w:pPr>
            <w:r>
              <w:t>Deezer</w:t>
            </w:r>
          </w:p>
          <w:p w14:paraId="06A2BD83" w14:textId="77777777" w:rsidR="00C7592B" w:rsidRPr="00772D8F" w:rsidRDefault="00C7592B" w:rsidP="00C7592B">
            <w:pPr>
              <w:pStyle w:val="TableCell"/>
              <w:ind w:firstLine="0"/>
            </w:pPr>
            <w:r>
              <w:t>iTunes</w:t>
            </w:r>
          </w:p>
        </w:tc>
        <w:tc>
          <w:tcPr>
            <w:tcW w:w="953" w:type="dxa"/>
            <w:tcBorders>
              <w:top w:val="single" w:sz="4" w:space="0" w:color="auto"/>
            </w:tcBorders>
            <w:vAlign w:val="center"/>
          </w:tcPr>
          <w:p w14:paraId="2C4D05A3" w14:textId="77777777" w:rsidR="00C7592B" w:rsidRPr="00DD4C3D" w:rsidRDefault="00C7592B" w:rsidP="00C7592B">
            <w:pPr>
              <w:pStyle w:val="TableCell"/>
              <w:ind w:firstLine="0"/>
            </w:pPr>
            <w:r w:rsidRPr="00DD4C3D">
              <w:t>50.20</w:t>
            </w:r>
          </w:p>
          <w:p w14:paraId="21DDF6CA" w14:textId="77777777" w:rsidR="00C7592B" w:rsidRPr="00772D8F" w:rsidRDefault="00C7592B" w:rsidP="00C7592B">
            <w:pPr>
              <w:pStyle w:val="TableCell"/>
              <w:ind w:firstLine="0"/>
            </w:pPr>
            <w:r w:rsidRPr="00DD4C3D">
              <w:t>49.30</w:t>
            </w:r>
          </w:p>
        </w:tc>
        <w:tc>
          <w:tcPr>
            <w:tcW w:w="929" w:type="dxa"/>
            <w:tcBorders>
              <w:top w:val="single" w:sz="4" w:space="0" w:color="auto"/>
            </w:tcBorders>
            <w:vAlign w:val="center"/>
          </w:tcPr>
          <w:p w14:paraId="5B515C2D" w14:textId="77777777" w:rsidR="00C7592B" w:rsidRPr="00DD4C3D" w:rsidRDefault="00C7592B" w:rsidP="00C7592B">
            <w:pPr>
              <w:pStyle w:val="TableCell"/>
              <w:ind w:firstLine="0"/>
            </w:pPr>
            <w:r w:rsidRPr="00DD4C3D">
              <w:t>53.10</w:t>
            </w:r>
          </w:p>
          <w:p w14:paraId="5B4A1E69" w14:textId="77777777" w:rsidR="00C7592B" w:rsidRDefault="00C7592B" w:rsidP="00C7592B">
            <w:pPr>
              <w:pStyle w:val="TableCell"/>
              <w:ind w:firstLine="0"/>
            </w:pPr>
            <w:r w:rsidRPr="00DD4C3D">
              <w:t>47.20</w:t>
            </w:r>
          </w:p>
        </w:tc>
        <w:tc>
          <w:tcPr>
            <w:tcW w:w="958" w:type="dxa"/>
            <w:tcBorders>
              <w:top w:val="single" w:sz="4" w:space="0" w:color="auto"/>
            </w:tcBorders>
            <w:vAlign w:val="center"/>
          </w:tcPr>
          <w:p w14:paraId="457D89D8" w14:textId="77777777" w:rsidR="00C7592B" w:rsidRPr="00DD4C3D" w:rsidRDefault="00C7592B" w:rsidP="00C7592B">
            <w:pPr>
              <w:pStyle w:val="TableCell"/>
              <w:ind w:firstLine="0"/>
            </w:pPr>
            <w:r w:rsidRPr="00DD4C3D">
              <w:t>48.50</w:t>
            </w:r>
          </w:p>
          <w:p w14:paraId="7C1E0C4A" w14:textId="77777777" w:rsidR="00C7592B" w:rsidRDefault="00C7592B" w:rsidP="00C7592B">
            <w:pPr>
              <w:pStyle w:val="TableCell"/>
              <w:ind w:firstLine="0"/>
            </w:pPr>
            <w:r w:rsidRPr="00DD4C3D">
              <w:t>50.30</w:t>
            </w:r>
          </w:p>
        </w:tc>
        <w:tc>
          <w:tcPr>
            <w:tcW w:w="992" w:type="dxa"/>
            <w:tcBorders>
              <w:top w:val="single" w:sz="4" w:space="0" w:color="auto"/>
            </w:tcBorders>
            <w:vAlign w:val="center"/>
          </w:tcPr>
          <w:p w14:paraId="27CA7782" w14:textId="77777777" w:rsidR="00C7592B" w:rsidRPr="00DD4C3D" w:rsidRDefault="00C7592B" w:rsidP="00C7592B">
            <w:pPr>
              <w:pStyle w:val="TableCell"/>
              <w:ind w:firstLine="0"/>
            </w:pPr>
            <w:r w:rsidRPr="00DD4C3D">
              <w:t>53.30</w:t>
            </w:r>
          </w:p>
          <w:p w14:paraId="1D577D30" w14:textId="77777777" w:rsidR="00C7592B" w:rsidRPr="00772D8F" w:rsidRDefault="00C7592B" w:rsidP="00C7592B">
            <w:pPr>
              <w:pStyle w:val="TableCell"/>
              <w:ind w:firstLine="0"/>
            </w:pPr>
            <w:r w:rsidRPr="00DD4C3D">
              <w:t>52.50</w:t>
            </w:r>
          </w:p>
        </w:tc>
        <w:tc>
          <w:tcPr>
            <w:tcW w:w="828" w:type="dxa"/>
            <w:tcBorders>
              <w:top w:val="single" w:sz="4" w:space="0" w:color="auto"/>
            </w:tcBorders>
            <w:vAlign w:val="center"/>
          </w:tcPr>
          <w:p w14:paraId="406A4E70" w14:textId="77777777" w:rsidR="00C7592B" w:rsidRPr="00DD4C3D" w:rsidRDefault="00C7592B" w:rsidP="00C7592B">
            <w:pPr>
              <w:pStyle w:val="TableCell"/>
              <w:ind w:firstLine="0"/>
            </w:pPr>
            <w:r w:rsidRPr="00DD4C3D">
              <w:t>53.20</w:t>
            </w:r>
          </w:p>
          <w:p w14:paraId="494FFAC6" w14:textId="77777777" w:rsidR="00C7592B" w:rsidRDefault="00C7592B" w:rsidP="00C7592B">
            <w:pPr>
              <w:pStyle w:val="TableCell"/>
              <w:ind w:firstLine="0"/>
            </w:pPr>
            <w:r w:rsidRPr="00DD4C3D">
              <w:t>52.80</w:t>
            </w:r>
          </w:p>
        </w:tc>
        <w:tc>
          <w:tcPr>
            <w:tcW w:w="828" w:type="dxa"/>
            <w:tcBorders>
              <w:top w:val="single" w:sz="4" w:space="0" w:color="auto"/>
            </w:tcBorders>
            <w:vAlign w:val="center"/>
          </w:tcPr>
          <w:p w14:paraId="1C5460D6" w14:textId="77777777" w:rsidR="00C7592B" w:rsidRPr="00DD4C3D" w:rsidRDefault="00C7592B" w:rsidP="00C7592B">
            <w:pPr>
              <w:pStyle w:val="TableCell"/>
              <w:ind w:firstLine="0"/>
            </w:pPr>
            <w:r w:rsidRPr="00DD4C3D">
              <w:t>56.40</w:t>
            </w:r>
          </w:p>
          <w:p w14:paraId="6C13C296" w14:textId="77777777" w:rsidR="00C7592B" w:rsidRDefault="00C7592B" w:rsidP="00C7592B">
            <w:pPr>
              <w:pStyle w:val="TableCell"/>
              <w:ind w:firstLine="0"/>
            </w:pPr>
            <w:r w:rsidRPr="00DD4C3D">
              <w:t>52.40</w:t>
            </w:r>
          </w:p>
        </w:tc>
        <w:tc>
          <w:tcPr>
            <w:tcW w:w="828" w:type="dxa"/>
            <w:tcBorders>
              <w:top w:val="single" w:sz="4" w:space="0" w:color="auto"/>
            </w:tcBorders>
            <w:vAlign w:val="center"/>
          </w:tcPr>
          <w:p w14:paraId="4D1CF452" w14:textId="77777777" w:rsidR="00C7592B" w:rsidRPr="00DD4C3D" w:rsidRDefault="00C7592B" w:rsidP="00C7592B">
            <w:pPr>
              <w:pStyle w:val="TableCell"/>
              <w:ind w:firstLine="0"/>
            </w:pPr>
            <w:r w:rsidRPr="00DD4C3D">
              <w:t>52.50</w:t>
            </w:r>
          </w:p>
          <w:p w14:paraId="6AD5C321" w14:textId="77777777" w:rsidR="00C7592B" w:rsidRDefault="00C7592B" w:rsidP="00C7592B">
            <w:pPr>
              <w:pStyle w:val="TableCell"/>
              <w:ind w:firstLine="0"/>
            </w:pPr>
            <w:r w:rsidRPr="00DD4C3D">
              <w:t>50.60</w:t>
            </w:r>
          </w:p>
        </w:tc>
        <w:tc>
          <w:tcPr>
            <w:tcW w:w="828" w:type="dxa"/>
            <w:tcBorders>
              <w:top w:val="single" w:sz="4" w:space="0" w:color="auto"/>
            </w:tcBorders>
            <w:vAlign w:val="center"/>
          </w:tcPr>
          <w:p w14:paraId="25ABC4EC" w14:textId="77777777" w:rsidR="00C7592B" w:rsidRPr="00DD4C3D" w:rsidRDefault="00C7592B" w:rsidP="00C7592B">
            <w:pPr>
              <w:pStyle w:val="TableCell"/>
              <w:ind w:firstLine="0"/>
            </w:pPr>
            <w:r w:rsidRPr="00DD4C3D">
              <w:t>56.30</w:t>
            </w:r>
          </w:p>
          <w:p w14:paraId="49AE55FE" w14:textId="77777777" w:rsidR="00C7592B" w:rsidRDefault="00C7592B" w:rsidP="00C7592B">
            <w:pPr>
              <w:pStyle w:val="TableCell"/>
              <w:ind w:firstLine="0"/>
            </w:pPr>
            <w:r w:rsidRPr="00DD4C3D">
              <w:t>50.50</w:t>
            </w:r>
          </w:p>
        </w:tc>
      </w:tr>
      <w:tr w:rsidR="00C7592B" w:rsidRPr="00772D8F" w14:paraId="454AF589" w14:textId="77777777" w:rsidTr="00C7592B">
        <w:tc>
          <w:tcPr>
            <w:tcW w:w="875" w:type="dxa"/>
          </w:tcPr>
          <w:p w14:paraId="07A869C9" w14:textId="77777777" w:rsidR="00C7592B" w:rsidRPr="00772D8F" w:rsidRDefault="00C7592B" w:rsidP="00C7592B">
            <w:pPr>
              <w:pStyle w:val="TableCell"/>
            </w:pPr>
            <w:r>
              <w:t>50</w:t>
            </w:r>
          </w:p>
        </w:tc>
        <w:tc>
          <w:tcPr>
            <w:tcW w:w="741" w:type="dxa"/>
          </w:tcPr>
          <w:p w14:paraId="62EEF313" w14:textId="77777777" w:rsidR="00C7592B" w:rsidRDefault="00C7592B" w:rsidP="00C7592B">
            <w:pPr>
              <w:pStyle w:val="TableCell"/>
              <w:ind w:firstLine="0"/>
            </w:pPr>
            <w:r>
              <w:t>Deezer</w:t>
            </w:r>
          </w:p>
          <w:p w14:paraId="03EFFC71" w14:textId="77777777" w:rsidR="00C7592B" w:rsidRPr="00772D8F" w:rsidRDefault="00C7592B" w:rsidP="00C7592B">
            <w:pPr>
              <w:pStyle w:val="TableCell"/>
              <w:ind w:firstLine="0"/>
            </w:pPr>
            <w:r>
              <w:t>iTunes</w:t>
            </w:r>
          </w:p>
        </w:tc>
        <w:tc>
          <w:tcPr>
            <w:tcW w:w="953" w:type="dxa"/>
            <w:vAlign w:val="center"/>
          </w:tcPr>
          <w:p w14:paraId="28B43B0B" w14:textId="77777777" w:rsidR="00C7592B" w:rsidRPr="00DD4C3D" w:rsidRDefault="00C7592B" w:rsidP="00C7592B">
            <w:pPr>
              <w:pStyle w:val="TableCell"/>
              <w:ind w:firstLine="0"/>
            </w:pPr>
            <w:r w:rsidRPr="00DD4C3D">
              <w:t>48.90</w:t>
            </w:r>
          </w:p>
          <w:p w14:paraId="2549CD1F" w14:textId="77777777" w:rsidR="00C7592B" w:rsidRPr="00772D8F" w:rsidRDefault="00C7592B" w:rsidP="00C7592B">
            <w:pPr>
              <w:pStyle w:val="TableCell"/>
              <w:ind w:firstLine="0"/>
            </w:pPr>
            <w:r w:rsidRPr="00DD4C3D">
              <w:t>43.30</w:t>
            </w:r>
          </w:p>
        </w:tc>
        <w:tc>
          <w:tcPr>
            <w:tcW w:w="929" w:type="dxa"/>
            <w:vAlign w:val="center"/>
          </w:tcPr>
          <w:p w14:paraId="1B4ED39D" w14:textId="77777777" w:rsidR="00C7592B" w:rsidRPr="00DD4C3D" w:rsidRDefault="00C7592B" w:rsidP="00C7592B">
            <w:pPr>
              <w:pStyle w:val="TableCell"/>
              <w:ind w:firstLine="0"/>
            </w:pPr>
            <w:r w:rsidRPr="00DD4C3D">
              <w:t>49.20</w:t>
            </w:r>
          </w:p>
          <w:p w14:paraId="3A18EE19" w14:textId="77777777" w:rsidR="00C7592B" w:rsidRDefault="00C7592B" w:rsidP="00C7592B">
            <w:pPr>
              <w:pStyle w:val="TableCell"/>
              <w:ind w:firstLine="0"/>
            </w:pPr>
            <w:r>
              <w:t>49.50</w:t>
            </w:r>
          </w:p>
        </w:tc>
        <w:tc>
          <w:tcPr>
            <w:tcW w:w="958" w:type="dxa"/>
            <w:vAlign w:val="center"/>
          </w:tcPr>
          <w:p w14:paraId="69731A88" w14:textId="77777777" w:rsidR="00C7592B" w:rsidRPr="00DD4C3D" w:rsidRDefault="00C7592B" w:rsidP="00C7592B">
            <w:pPr>
              <w:pStyle w:val="TableCell"/>
              <w:ind w:firstLine="0"/>
            </w:pPr>
            <w:r w:rsidRPr="00DD4C3D">
              <w:t>52.10</w:t>
            </w:r>
          </w:p>
          <w:p w14:paraId="7FCDD15B" w14:textId="77777777" w:rsidR="00C7592B" w:rsidRDefault="00C7592B" w:rsidP="00C7592B">
            <w:pPr>
              <w:pStyle w:val="TableCell"/>
              <w:ind w:firstLine="0"/>
            </w:pPr>
            <w:r>
              <w:t>52.50</w:t>
            </w:r>
          </w:p>
        </w:tc>
        <w:tc>
          <w:tcPr>
            <w:tcW w:w="992" w:type="dxa"/>
            <w:vAlign w:val="center"/>
          </w:tcPr>
          <w:p w14:paraId="15E59D3A" w14:textId="77777777" w:rsidR="00C7592B" w:rsidRPr="00DD4C3D" w:rsidRDefault="00C7592B" w:rsidP="00C7592B">
            <w:pPr>
              <w:pStyle w:val="TableCell"/>
              <w:ind w:firstLine="0"/>
            </w:pPr>
            <w:r w:rsidRPr="00DD4C3D">
              <w:t>50.90</w:t>
            </w:r>
          </w:p>
          <w:p w14:paraId="24CD75A4" w14:textId="77777777" w:rsidR="00C7592B" w:rsidRPr="00772D8F" w:rsidRDefault="00C7592B" w:rsidP="00C7592B">
            <w:pPr>
              <w:pStyle w:val="TableCell"/>
              <w:ind w:firstLine="0"/>
            </w:pPr>
            <w:r>
              <w:t>49.50</w:t>
            </w:r>
          </w:p>
        </w:tc>
        <w:tc>
          <w:tcPr>
            <w:tcW w:w="828" w:type="dxa"/>
            <w:vAlign w:val="center"/>
          </w:tcPr>
          <w:p w14:paraId="7926D790" w14:textId="77777777" w:rsidR="00C7592B" w:rsidRPr="00DD4C3D" w:rsidRDefault="00C7592B" w:rsidP="00C7592B">
            <w:pPr>
              <w:pStyle w:val="TableCell"/>
              <w:ind w:firstLine="0"/>
            </w:pPr>
            <w:r w:rsidRPr="00DD4C3D">
              <w:t>51.50</w:t>
            </w:r>
          </w:p>
          <w:p w14:paraId="622897FC" w14:textId="77777777" w:rsidR="00C7592B" w:rsidRDefault="00C7592B" w:rsidP="00C7592B">
            <w:pPr>
              <w:pStyle w:val="TableCell"/>
              <w:ind w:firstLine="0"/>
            </w:pPr>
            <w:r w:rsidRPr="00DD4C3D">
              <w:t>50.10</w:t>
            </w:r>
          </w:p>
        </w:tc>
        <w:tc>
          <w:tcPr>
            <w:tcW w:w="828" w:type="dxa"/>
            <w:vAlign w:val="center"/>
          </w:tcPr>
          <w:p w14:paraId="4A5B954F" w14:textId="77777777" w:rsidR="00C7592B" w:rsidRPr="00DD4C3D" w:rsidRDefault="00C7592B" w:rsidP="00C7592B">
            <w:pPr>
              <w:pStyle w:val="TableCell"/>
              <w:ind w:firstLine="0"/>
            </w:pPr>
            <w:r w:rsidRPr="00DD4C3D">
              <w:t>52.60</w:t>
            </w:r>
          </w:p>
          <w:p w14:paraId="367BCDB8" w14:textId="77777777" w:rsidR="00C7592B" w:rsidRDefault="00C7592B" w:rsidP="00C7592B">
            <w:pPr>
              <w:pStyle w:val="TableCell"/>
              <w:ind w:firstLine="0"/>
            </w:pPr>
            <w:r w:rsidRPr="00DD4C3D">
              <w:t>51.90</w:t>
            </w:r>
          </w:p>
        </w:tc>
        <w:tc>
          <w:tcPr>
            <w:tcW w:w="828" w:type="dxa"/>
            <w:vAlign w:val="center"/>
          </w:tcPr>
          <w:p w14:paraId="468FD366" w14:textId="77777777" w:rsidR="00C7592B" w:rsidRPr="00DD4C3D" w:rsidRDefault="00C7592B" w:rsidP="00C7592B">
            <w:pPr>
              <w:pStyle w:val="TableCell"/>
              <w:ind w:firstLine="0"/>
            </w:pPr>
            <w:r w:rsidRPr="00DD4C3D">
              <w:t>56.30</w:t>
            </w:r>
          </w:p>
          <w:p w14:paraId="16ADDBCE" w14:textId="77777777" w:rsidR="00C7592B" w:rsidRDefault="00C7592B" w:rsidP="00C7592B">
            <w:pPr>
              <w:pStyle w:val="TableCell"/>
              <w:ind w:firstLine="0"/>
            </w:pPr>
            <w:r>
              <w:t>46.50</w:t>
            </w:r>
          </w:p>
        </w:tc>
        <w:tc>
          <w:tcPr>
            <w:tcW w:w="828" w:type="dxa"/>
            <w:vAlign w:val="center"/>
          </w:tcPr>
          <w:p w14:paraId="26D628F5" w14:textId="77777777" w:rsidR="00C7592B" w:rsidRPr="00DD4C3D" w:rsidRDefault="00C7592B" w:rsidP="00C7592B">
            <w:pPr>
              <w:pStyle w:val="TableCell"/>
              <w:ind w:firstLine="0"/>
            </w:pPr>
            <w:r w:rsidRPr="00DD4C3D">
              <w:t>60.60</w:t>
            </w:r>
          </w:p>
          <w:p w14:paraId="00EDFE8C" w14:textId="77777777" w:rsidR="00C7592B" w:rsidRDefault="00C7592B" w:rsidP="00C7592B">
            <w:pPr>
              <w:pStyle w:val="TableCell"/>
              <w:ind w:firstLine="0"/>
            </w:pPr>
            <w:r>
              <w:t>52.00</w:t>
            </w:r>
          </w:p>
        </w:tc>
      </w:tr>
      <w:tr w:rsidR="00C7592B" w:rsidRPr="00772D8F" w14:paraId="0E23CA2E" w14:textId="77777777" w:rsidTr="00C7592B">
        <w:tc>
          <w:tcPr>
            <w:tcW w:w="875" w:type="dxa"/>
          </w:tcPr>
          <w:p w14:paraId="67BA56D8" w14:textId="77777777" w:rsidR="00C7592B" w:rsidRPr="00772D8F" w:rsidRDefault="00C7592B" w:rsidP="00C7592B">
            <w:pPr>
              <w:pStyle w:val="TableCell"/>
            </w:pPr>
            <w:r>
              <w:t>100</w:t>
            </w:r>
          </w:p>
        </w:tc>
        <w:tc>
          <w:tcPr>
            <w:tcW w:w="741" w:type="dxa"/>
          </w:tcPr>
          <w:p w14:paraId="72A28C1C" w14:textId="77777777" w:rsidR="00C7592B" w:rsidRDefault="00C7592B" w:rsidP="00C7592B">
            <w:pPr>
              <w:pStyle w:val="TableCell"/>
              <w:ind w:firstLine="0"/>
            </w:pPr>
            <w:r>
              <w:t>Deezer</w:t>
            </w:r>
          </w:p>
          <w:p w14:paraId="60E600BC" w14:textId="77777777" w:rsidR="00C7592B" w:rsidRPr="00772D8F" w:rsidRDefault="00C7592B" w:rsidP="00C7592B">
            <w:pPr>
              <w:pStyle w:val="TableCell"/>
              <w:ind w:firstLine="0"/>
            </w:pPr>
            <w:r>
              <w:t>iTunes</w:t>
            </w:r>
          </w:p>
        </w:tc>
        <w:tc>
          <w:tcPr>
            <w:tcW w:w="953" w:type="dxa"/>
            <w:vAlign w:val="center"/>
          </w:tcPr>
          <w:p w14:paraId="72B72228" w14:textId="77777777" w:rsidR="00C7592B" w:rsidRPr="00DD4C3D" w:rsidRDefault="00C7592B" w:rsidP="00C7592B">
            <w:pPr>
              <w:pStyle w:val="TableCell"/>
              <w:ind w:firstLine="0"/>
            </w:pPr>
            <w:r w:rsidRPr="00DD4C3D">
              <w:t>51.40</w:t>
            </w:r>
          </w:p>
          <w:p w14:paraId="76A64E04" w14:textId="77777777" w:rsidR="00C7592B" w:rsidRPr="00772D8F" w:rsidRDefault="00C7592B" w:rsidP="00C7592B">
            <w:pPr>
              <w:pStyle w:val="TableCell"/>
              <w:ind w:firstLine="0"/>
            </w:pPr>
            <w:r>
              <w:t>49.50</w:t>
            </w:r>
          </w:p>
        </w:tc>
        <w:tc>
          <w:tcPr>
            <w:tcW w:w="929" w:type="dxa"/>
            <w:vAlign w:val="center"/>
          </w:tcPr>
          <w:p w14:paraId="650BE876" w14:textId="77777777" w:rsidR="00C7592B" w:rsidRPr="00DD4C3D" w:rsidRDefault="00C7592B" w:rsidP="00C7592B">
            <w:pPr>
              <w:pStyle w:val="TableCell"/>
              <w:ind w:firstLine="0"/>
            </w:pPr>
            <w:r w:rsidRPr="00DD4C3D">
              <w:t>50.80</w:t>
            </w:r>
          </w:p>
          <w:p w14:paraId="14E1DE32" w14:textId="77777777" w:rsidR="00C7592B" w:rsidRDefault="00C7592B" w:rsidP="00C7592B">
            <w:pPr>
              <w:pStyle w:val="TableCell"/>
              <w:ind w:firstLine="0"/>
            </w:pPr>
            <w:r>
              <w:t>50.70</w:t>
            </w:r>
          </w:p>
        </w:tc>
        <w:tc>
          <w:tcPr>
            <w:tcW w:w="958" w:type="dxa"/>
            <w:vAlign w:val="center"/>
          </w:tcPr>
          <w:p w14:paraId="3815EA26" w14:textId="77777777" w:rsidR="00C7592B" w:rsidRPr="00DD4C3D" w:rsidRDefault="00C7592B" w:rsidP="00C7592B">
            <w:pPr>
              <w:pStyle w:val="TableCell"/>
              <w:ind w:firstLine="0"/>
            </w:pPr>
            <w:r w:rsidRPr="00DD4C3D">
              <w:t>51.50</w:t>
            </w:r>
          </w:p>
          <w:p w14:paraId="3BC4804F" w14:textId="77777777" w:rsidR="00C7592B" w:rsidRDefault="00C7592B" w:rsidP="00C7592B">
            <w:pPr>
              <w:pStyle w:val="TableCell"/>
              <w:ind w:firstLine="0"/>
            </w:pPr>
            <w:r>
              <w:t>49.00</w:t>
            </w:r>
          </w:p>
        </w:tc>
        <w:tc>
          <w:tcPr>
            <w:tcW w:w="992" w:type="dxa"/>
            <w:vAlign w:val="center"/>
          </w:tcPr>
          <w:p w14:paraId="7C7B1BA1" w14:textId="77777777" w:rsidR="00C7592B" w:rsidRPr="00DD4C3D" w:rsidRDefault="00C7592B" w:rsidP="00C7592B">
            <w:pPr>
              <w:pStyle w:val="TableCell"/>
              <w:ind w:firstLine="0"/>
            </w:pPr>
            <w:r w:rsidRPr="00DD4C3D">
              <w:t>55.30</w:t>
            </w:r>
          </w:p>
          <w:p w14:paraId="19DFF3E4" w14:textId="77777777" w:rsidR="00C7592B" w:rsidRPr="00772D8F" w:rsidRDefault="00C7592B" w:rsidP="00C7592B">
            <w:pPr>
              <w:pStyle w:val="TableCell"/>
              <w:ind w:firstLine="0"/>
            </w:pPr>
            <w:r>
              <w:t>49.20</w:t>
            </w:r>
          </w:p>
        </w:tc>
        <w:tc>
          <w:tcPr>
            <w:tcW w:w="828" w:type="dxa"/>
            <w:vAlign w:val="center"/>
          </w:tcPr>
          <w:p w14:paraId="3F9C23CE" w14:textId="77777777" w:rsidR="00C7592B" w:rsidRPr="00DD4C3D" w:rsidRDefault="00C7592B" w:rsidP="00C7592B">
            <w:pPr>
              <w:pStyle w:val="TableCell"/>
              <w:ind w:firstLine="0"/>
            </w:pPr>
            <w:r w:rsidRPr="00DD4C3D">
              <w:t>52.20</w:t>
            </w:r>
          </w:p>
          <w:p w14:paraId="64167598" w14:textId="77777777" w:rsidR="00C7592B" w:rsidRDefault="00C7592B" w:rsidP="00C7592B">
            <w:pPr>
              <w:pStyle w:val="TableCell"/>
              <w:ind w:firstLine="0"/>
            </w:pPr>
            <w:r>
              <w:t>50.60</w:t>
            </w:r>
          </w:p>
        </w:tc>
        <w:tc>
          <w:tcPr>
            <w:tcW w:w="828" w:type="dxa"/>
            <w:vAlign w:val="center"/>
          </w:tcPr>
          <w:p w14:paraId="4CAA274D" w14:textId="77777777" w:rsidR="00C7592B" w:rsidRPr="00DD4C3D" w:rsidRDefault="00C7592B" w:rsidP="00C7592B">
            <w:pPr>
              <w:pStyle w:val="TableCell"/>
              <w:ind w:firstLine="0"/>
            </w:pPr>
            <w:r w:rsidRPr="00DD4C3D">
              <w:t>48.10</w:t>
            </w:r>
          </w:p>
          <w:p w14:paraId="36B2A212" w14:textId="77777777" w:rsidR="00C7592B" w:rsidRDefault="00C7592B" w:rsidP="00C7592B">
            <w:pPr>
              <w:pStyle w:val="TableCell"/>
              <w:ind w:firstLine="0"/>
            </w:pPr>
            <w:r>
              <w:t>49.90</w:t>
            </w:r>
          </w:p>
        </w:tc>
        <w:tc>
          <w:tcPr>
            <w:tcW w:w="828" w:type="dxa"/>
            <w:vAlign w:val="center"/>
          </w:tcPr>
          <w:p w14:paraId="7E0051FE" w14:textId="77777777" w:rsidR="00C7592B" w:rsidRPr="00DD4C3D" w:rsidRDefault="00C7592B" w:rsidP="00C7592B">
            <w:pPr>
              <w:pStyle w:val="TableCell"/>
              <w:ind w:firstLine="0"/>
            </w:pPr>
            <w:r w:rsidRPr="00DD4C3D">
              <w:t>50.80</w:t>
            </w:r>
          </w:p>
          <w:p w14:paraId="6D568C16" w14:textId="77777777" w:rsidR="00C7592B" w:rsidRDefault="00C7592B" w:rsidP="00C7592B">
            <w:pPr>
              <w:pStyle w:val="TableCell"/>
              <w:ind w:firstLine="0"/>
            </w:pPr>
            <w:r>
              <w:t>46.70</w:t>
            </w:r>
          </w:p>
        </w:tc>
        <w:tc>
          <w:tcPr>
            <w:tcW w:w="828" w:type="dxa"/>
            <w:vAlign w:val="center"/>
          </w:tcPr>
          <w:p w14:paraId="2C4909ED" w14:textId="77777777" w:rsidR="00C7592B" w:rsidRPr="00DD4C3D" w:rsidRDefault="00C7592B" w:rsidP="00C7592B">
            <w:pPr>
              <w:pStyle w:val="TableCell"/>
              <w:ind w:firstLine="0"/>
            </w:pPr>
            <w:r w:rsidRPr="00DD4C3D">
              <w:t>54.90</w:t>
            </w:r>
          </w:p>
          <w:p w14:paraId="090E8C2A" w14:textId="77777777" w:rsidR="00C7592B" w:rsidRDefault="00C7592B" w:rsidP="00C7592B">
            <w:pPr>
              <w:pStyle w:val="TableCell"/>
              <w:ind w:firstLine="0"/>
            </w:pPr>
            <w:r>
              <w:t>48.70</w:t>
            </w:r>
          </w:p>
        </w:tc>
      </w:tr>
      <w:tr w:rsidR="00C7592B" w:rsidRPr="00772D8F" w14:paraId="68B4269F" w14:textId="77777777" w:rsidTr="00C7592B">
        <w:tc>
          <w:tcPr>
            <w:tcW w:w="875" w:type="dxa"/>
            <w:tcBorders>
              <w:bottom w:val="single" w:sz="4" w:space="0" w:color="auto"/>
            </w:tcBorders>
          </w:tcPr>
          <w:p w14:paraId="0E0FEC8E" w14:textId="77777777" w:rsidR="00C7592B" w:rsidRPr="001B633D" w:rsidRDefault="00C7592B" w:rsidP="00C7592B">
            <w:pPr>
              <w:pStyle w:val="TableCell"/>
            </w:pPr>
            <w:r>
              <w:t>200</w:t>
            </w:r>
          </w:p>
        </w:tc>
        <w:tc>
          <w:tcPr>
            <w:tcW w:w="741" w:type="dxa"/>
            <w:tcBorders>
              <w:bottom w:val="single" w:sz="4" w:space="0" w:color="auto"/>
            </w:tcBorders>
          </w:tcPr>
          <w:p w14:paraId="13F2ACA6" w14:textId="77777777" w:rsidR="00C7592B" w:rsidRDefault="00C7592B" w:rsidP="00C7592B">
            <w:pPr>
              <w:pStyle w:val="TableCell"/>
              <w:ind w:firstLine="0"/>
            </w:pPr>
            <w:r>
              <w:t>Deezer</w:t>
            </w:r>
          </w:p>
          <w:p w14:paraId="5FD62476" w14:textId="77777777" w:rsidR="00C7592B" w:rsidRPr="001B633D" w:rsidRDefault="00C7592B" w:rsidP="00C7592B">
            <w:pPr>
              <w:pStyle w:val="TableCell"/>
              <w:ind w:firstLine="0"/>
            </w:pPr>
            <w:r>
              <w:t>iTunes</w:t>
            </w:r>
          </w:p>
        </w:tc>
        <w:tc>
          <w:tcPr>
            <w:tcW w:w="953" w:type="dxa"/>
            <w:tcBorders>
              <w:bottom w:val="single" w:sz="4" w:space="0" w:color="auto"/>
            </w:tcBorders>
            <w:vAlign w:val="center"/>
          </w:tcPr>
          <w:p w14:paraId="354199A3" w14:textId="77777777" w:rsidR="00C7592B" w:rsidRPr="00DD4C3D" w:rsidRDefault="00C7592B" w:rsidP="00C7592B">
            <w:pPr>
              <w:pStyle w:val="TableCell"/>
              <w:ind w:firstLine="0"/>
            </w:pPr>
            <w:r w:rsidRPr="00DD4C3D">
              <w:t>48.40</w:t>
            </w:r>
          </w:p>
          <w:p w14:paraId="30AFC2BB" w14:textId="77777777" w:rsidR="00C7592B" w:rsidRPr="001B633D" w:rsidRDefault="00C7592B" w:rsidP="00C7592B">
            <w:pPr>
              <w:pStyle w:val="TableCell"/>
              <w:ind w:firstLine="0"/>
            </w:pPr>
            <w:r>
              <w:t>47.00</w:t>
            </w:r>
          </w:p>
        </w:tc>
        <w:tc>
          <w:tcPr>
            <w:tcW w:w="929" w:type="dxa"/>
            <w:tcBorders>
              <w:bottom w:val="single" w:sz="4" w:space="0" w:color="auto"/>
            </w:tcBorders>
            <w:vAlign w:val="center"/>
          </w:tcPr>
          <w:p w14:paraId="61CE4278" w14:textId="77777777" w:rsidR="00C7592B" w:rsidRPr="00DD4C3D" w:rsidRDefault="00C7592B" w:rsidP="00C7592B">
            <w:pPr>
              <w:pStyle w:val="TableCell"/>
              <w:ind w:firstLine="0"/>
            </w:pPr>
            <w:r w:rsidRPr="00DD4C3D">
              <w:t>50.60</w:t>
            </w:r>
          </w:p>
          <w:p w14:paraId="40D8DAD2" w14:textId="77777777" w:rsidR="00C7592B" w:rsidRDefault="00C7592B" w:rsidP="00C7592B">
            <w:pPr>
              <w:pStyle w:val="TableCell"/>
              <w:ind w:firstLine="0"/>
            </w:pPr>
            <w:r>
              <w:t>51.30</w:t>
            </w:r>
          </w:p>
        </w:tc>
        <w:tc>
          <w:tcPr>
            <w:tcW w:w="958" w:type="dxa"/>
            <w:tcBorders>
              <w:bottom w:val="single" w:sz="4" w:space="0" w:color="auto"/>
            </w:tcBorders>
            <w:vAlign w:val="center"/>
          </w:tcPr>
          <w:p w14:paraId="5A4F9356" w14:textId="77777777" w:rsidR="00C7592B" w:rsidRPr="00DD4C3D" w:rsidRDefault="00C7592B" w:rsidP="00C7592B">
            <w:pPr>
              <w:pStyle w:val="TableCell"/>
              <w:ind w:firstLine="0"/>
            </w:pPr>
            <w:r w:rsidRPr="00DD4C3D">
              <w:t>49.80</w:t>
            </w:r>
          </w:p>
          <w:p w14:paraId="39D43D68" w14:textId="77777777" w:rsidR="00C7592B" w:rsidRDefault="00C7592B" w:rsidP="00C7592B">
            <w:pPr>
              <w:pStyle w:val="TableCell"/>
              <w:ind w:firstLine="0"/>
            </w:pPr>
            <w:r>
              <w:t>48.20</w:t>
            </w:r>
          </w:p>
        </w:tc>
        <w:tc>
          <w:tcPr>
            <w:tcW w:w="992" w:type="dxa"/>
            <w:tcBorders>
              <w:bottom w:val="single" w:sz="4" w:space="0" w:color="auto"/>
            </w:tcBorders>
            <w:vAlign w:val="center"/>
          </w:tcPr>
          <w:p w14:paraId="1E449F97" w14:textId="77777777" w:rsidR="00C7592B" w:rsidRPr="00DD4C3D" w:rsidRDefault="00C7592B" w:rsidP="00C7592B">
            <w:pPr>
              <w:pStyle w:val="TableCell"/>
              <w:ind w:firstLine="0"/>
            </w:pPr>
            <w:r w:rsidRPr="00DD4C3D">
              <w:t>51.60</w:t>
            </w:r>
          </w:p>
          <w:p w14:paraId="49AB3168" w14:textId="77777777" w:rsidR="00C7592B" w:rsidRPr="00AD6C5E" w:rsidRDefault="00C7592B" w:rsidP="00C7592B">
            <w:pPr>
              <w:pStyle w:val="TableCell"/>
              <w:ind w:firstLine="0"/>
            </w:pPr>
            <w:r>
              <w:t>49.80</w:t>
            </w:r>
          </w:p>
        </w:tc>
        <w:tc>
          <w:tcPr>
            <w:tcW w:w="828" w:type="dxa"/>
            <w:tcBorders>
              <w:bottom w:val="single" w:sz="4" w:space="0" w:color="auto"/>
            </w:tcBorders>
            <w:vAlign w:val="center"/>
          </w:tcPr>
          <w:p w14:paraId="47933C8C" w14:textId="77777777" w:rsidR="00C7592B" w:rsidRPr="00DD4C3D" w:rsidRDefault="00C7592B" w:rsidP="00C7592B">
            <w:pPr>
              <w:pStyle w:val="TableCell"/>
              <w:ind w:firstLine="0"/>
            </w:pPr>
            <w:r w:rsidRPr="00DD4C3D">
              <w:t>50.00</w:t>
            </w:r>
          </w:p>
          <w:p w14:paraId="7686918F" w14:textId="77777777" w:rsidR="00C7592B" w:rsidRDefault="00C7592B" w:rsidP="00C7592B">
            <w:pPr>
              <w:pStyle w:val="TableCell"/>
              <w:ind w:firstLine="0"/>
            </w:pPr>
            <w:r>
              <w:t>51.10</w:t>
            </w:r>
          </w:p>
        </w:tc>
        <w:tc>
          <w:tcPr>
            <w:tcW w:w="828" w:type="dxa"/>
            <w:tcBorders>
              <w:bottom w:val="single" w:sz="4" w:space="0" w:color="auto"/>
            </w:tcBorders>
            <w:vAlign w:val="center"/>
          </w:tcPr>
          <w:p w14:paraId="238B1ED3" w14:textId="77777777" w:rsidR="00C7592B" w:rsidRPr="00DD4C3D" w:rsidRDefault="00C7592B" w:rsidP="00C7592B">
            <w:pPr>
              <w:pStyle w:val="TableCell"/>
              <w:ind w:firstLine="0"/>
            </w:pPr>
            <w:r w:rsidRPr="00DD4C3D">
              <w:t>49.00</w:t>
            </w:r>
          </w:p>
          <w:p w14:paraId="2B2A5281" w14:textId="77777777" w:rsidR="00C7592B" w:rsidRDefault="00C7592B" w:rsidP="00C7592B">
            <w:pPr>
              <w:pStyle w:val="TableCell"/>
              <w:ind w:firstLine="0"/>
            </w:pPr>
            <w:r>
              <w:t>47.40</w:t>
            </w:r>
          </w:p>
        </w:tc>
        <w:tc>
          <w:tcPr>
            <w:tcW w:w="828" w:type="dxa"/>
            <w:tcBorders>
              <w:bottom w:val="single" w:sz="4" w:space="0" w:color="auto"/>
            </w:tcBorders>
            <w:vAlign w:val="center"/>
          </w:tcPr>
          <w:p w14:paraId="11ABEE24" w14:textId="77777777" w:rsidR="00C7592B" w:rsidRPr="00DD4C3D" w:rsidRDefault="00C7592B" w:rsidP="00C7592B">
            <w:pPr>
              <w:pStyle w:val="TableCell"/>
              <w:ind w:firstLine="0"/>
            </w:pPr>
            <w:r w:rsidRPr="00DD4C3D">
              <w:t>55.40</w:t>
            </w:r>
          </w:p>
          <w:p w14:paraId="0BDB954D" w14:textId="77777777" w:rsidR="00C7592B" w:rsidRDefault="00C7592B" w:rsidP="00C7592B">
            <w:pPr>
              <w:pStyle w:val="TableCell"/>
              <w:ind w:firstLine="0"/>
            </w:pPr>
            <w:r>
              <w:t>49.00</w:t>
            </w:r>
          </w:p>
        </w:tc>
        <w:tc>
          <w:tcPr>
            <w:tcW w:w="828" w:type="dxa"/>
            <w:tcBorders>
              <w:bottom w:val="single" w:sz="4" w:space="0" w:color="auto"/>
            </w:tcBorders>
            <w:vAlign w:val="center"/>
          </w:tcPr>
          <w:p w14:paraId="01FB639F" w14:textId="77777777" w:rsidR="00C7592B" w:rsidRPr="00DD4C3D" w:rsidRDefault="00C7592B" w:rsidP="00C7592B">
            <w:pPr>
              <w:pStyle w:val="TableCell"/>
              <w:ind w:firstLine="0"/>
            </w:pPr>
            <w:r w:rsidRPr="00DD4C3D">
              <w:t>53.30</w:t>
            </w:r>
          </w:p>
          <w:p w14:paraId="24298A87" w14:textId="77777777" w:rsidR="00C7592B" w:rsidRDefault="00C7592B" w:rsidP="00C7592B">
            <w:pPr>
              <w:pStyle w:val="TableCell"/>
              <w:ind w:firstLine="0"/>
            </w:pPr>
            <w:r>
              <w:t>46.10</w:t>
            </w:r>
          </w:p>
        </w:tc>
      </w:tr>
    </w:tbl>
    <w:p w14:paraId="077D2264"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1153AF1" w14:textId="7BBA2A04" w:rsidR="00522A2B" w:rsidRDefault="00522A2B"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A</w:t>
      </w:r>
      <w:r w:rsidRPr="00522A2B">
        <w:rPr>
          <w:rFonts w:ascii="Linux Libertine O" w:hAnsi="Linux Libertine O" w:cs="Linux Libertine O"/>
          <w:sz w:val="18"/>
          <w:lang w:eastAsia="en-US"/>
        </w:rPr>
        <w:t xml:space="preserve">fter fixing the issues with the code (see 2.2), the NeiCE algorithm was executed with the same parameters as in the paper and the results were saved. </w:t>
      </w:r>
      <w:r w:rsidR="00F67741">
        <w:rPr>
          <w:rFonts w:ascii="Linux Libertine O" w:hAnsi="Linux Libertine O" w:cs="Linux Libertine O"/>
          <w:sz w:val="18"/>
          <w:lang w:eastAsia="en-US"/>
        </w:rPr>
        <w:t xml:space="preserve"> The results can be viewed in Table 2. </w:t>
      </w:r>
      <w:r w:rsidRPr="00522A2B">
        <w:rPr>
          <w:rFonts w:ascii="Linux Libertine O" w:hAnsi="Linux Libertine O" w:cs="Linux Libertine O"/>
          <w:sz w:val="18"/>
          <w:lang w:eastAsia="en-US"/>
        </w:rPr>
        <w:t xml:space="preserve">We obtained three different results. </w:t>
      </w:r>
      <w:r w:rsidR="002825F7" w:rsidRPr="002825F7">
        <w:rPr>
          <w:rFonts w:ascii="Linux Libertine O" w:hAnsi="Linux Libertine O" w:cs="Linux Libertine O"/>
          <w:sz w:val="18"/>
          <w:lang w:eastAsia="en-US"/>
        </w:rPr>
        <w:t xml:space="preserve">The t-test </w:t>
      </w:r>
      <w:r w:rsidR="00811CF4" w:rsidRPr="002825F7">
        <w:rPr>
          <w:rFonts w:ascii="Linux Libertine O" w:hAnsi="Linux Libertine O" w:cs="Linux Libertine O"/>
          <w:sz w:val="18"/>
          <w:lang w:eastAsia="en-US"/>
        </w:rPr>
        <w:t xml:space="preserve">statistic </w:t>
      </w:r>
      <w:r w:rsidR="00811CF4">
        <w:rPr>
          <w:rFonts w:ascii="Linux Libertine O" w:hAnsi="Linux Libertine O" w:cs="Linux Libertine O"/>
          <w:sz w:val="18"/>
          <w:lang w:eastAsia="en-US"/>
        </w:rPr>
        <w:t>was</w:t>
      </w:r>
      <w:r w:rsidR="002825F7" w:rsidRPr="002825F7">
        <w:rPr>
          <w:rFonts w:ascii="Linux Libertine O" w:hAnsi="Linux Libertine O" w:cs="Linux Libertine O"/>
          <w:sz w:val="18"/>
          <w:lang w:eastAsia="en-US"/>
        </w:rPr>
        <w:t xml:space="preserve"> chosen to check whether the results match those from the paper, as it is the most suitable for our purposes.</w:t>
      </w:r>
      <w:r w:rsidR="00811CF4">
        <w:rPr>
          <w:rFonts w:ascii="Linux Libertine O" w:hAnsi="Linux Libertine O" w:cs="Linux Libertine O"/>
          <w:sz w:val="18"/>
          <w:lang w:eastAsia="en-US"/>
        </w:rPr>
        <w:t xml:space="preserve"> However, to do so, a mean-value is required from the distribution that is checked for. Therefore, we just took the values from the paper. In the following, the </w:t>
      </w:r>
      <w:r w:rsidR="006C7A36">
        <w:rPr>
          <w:rFonts w:ascii="Linux Libertine O" w:hAnsi="Linux Libertine O" w:cs="Linux Libertine O"/>
          <w:sz w:val="18"/>
          <w:lang w:eastAsia="en-US"/>
        </w:rPr>
        <w:t xml:space="preserve">one sample </w:t>
      </w:r>
      <w:r w:rsidR="00811CF4">
        <w:rPr>
          <w:rFonts w:ascii="Linux Libertine O" w:hAnsi="Linux Libertine O" w:cs="Linux Libertine O"/>
          <w:sz w:val="18"/>
          <w:lang w:eastAsia="en-US"/>
        </w:rPr>
        <w:t xml:space="preserve">t-test is </w:t>
      </w:r>
      <w:r w:rsidR="006C7A36">
        <w:rPr>
          <w:rFonts w:ascii="Linux Libertine O" w:hAnsi="Linux Libertine O" w:cs="Linux Libertine O"/>
          <w:sz w:val="18"/>
          <w:lang w:eastAsia="en-US"/>
        </w:rPr>
        <w:t>calculated for each combination of hyperparameters (</w:t>
      </w:r>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word</w:t>
      </w:r>
      <w:r w:rsidR="006C7A36">
        <w:rPr>
          <w:rFonts w:ascii="Linux Libertine O" w:hAnsi="Linux Libertine O" w:cs="Linux Libertine O"/>
          <w:sz w:val="18"/>
          <w:lang w:eastAsia="en-US"/>
        </w:rPr>
        <w:t xml:space="preserve">, </w:t>
      </w:r>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ent</w:t>
      </w:r>
      <w:r w:rsidR="006C7A36">
        <w:rPr>
          <w:rFonts w:ascii="Linux Libertine O" w:hAnsi="Linux Libertine O" w:cs="Linux Libertine O"/>
          <w:sz w:val="18"/>
          <w:lang w:eastAsia="en-US"/>
        </w:rPr>
        <w:t>, K)</w:t>
      </w:r>
      <w:r w:rsidR="00811CF4">
        <w:rPr>
          <w:rFonts w:ascii="Linux Libertine O" w:hAnsi="Linux Libertine O" w:cs="Linux Libertine O"/>
          <w:sz w:val="18"/>
          <w:lang w:eastAsia="en-US"/>
        </w:rPr>
        <w:t xml:space="preserve"> under the assumption that the values from the paper depict the mean value of the underlying distribution of the evaluation metric.</w:t>
      </w:r>
      <w:r w:rsidR="006C7A36">
        <w:rPr>
          <w:rFonts w:ascii="Linux Libertine O" w:hAnsi="Linux Libertine O" w:cs="Linux Libertine O"/>
          <w:sz w:val="18"/>
          <w:lang w:eastAsia="en-US"/>
        </w:rPr>
        <w:t xml:space="preserve"> As we only have (due to computational limitations) three results available, N is set to 3 </w:t>
      </w:r>
      <w:r w:rsidR="000025FF">
        <w:rPr>
          <w:rFonts w:ascii="Linux Libertine O" w:hAnsi="Linux Libertine O" w:cs="Linux Libertine O"/>
          <w:sz w:val="18"/>
          <w:lang w:eastAsia="en-US"/>
        </w:rPr>
        <w:t xml:space="preserve">(and therefore the degree of freedom is 2) </w:t>
      </w:r>
      <w:r w:rsidR="006C7A36">
        <w:rPr>
          <w:rFonts w:ascii="Linux Libertine O" w:hAnsi="Linux Libertine O" w:cs="Linux Libertine O"/>
          <w:sz w:val="18"/>
          <w:lang w:eastAsia="en-US"/>
        </w:rPr>
        <w:t>and the respective t-Score for p = 0.05 equals 2.92</w:t>
      </w:r>
      <w:r w:rsidR="004E4708">
        <w:rPr>
          <w:rFonts w:ascii="Linux Libertine O" w:hAnsi="Linux Libertine O" w:cs="Linux Libertine O"/>
          <w:sz w:val="18"/>
          <w:lang w:eastAsia="en-US"/>
        </w:rPr>
        <w:t>.</w:t>
      </w:r>
    </w:p>
    <w:p w14:paraId="583B0AEF" w14:textId="1D959EE5" w:rsidR="004E4708" w:rsidRDefault="00360267" w:rsidP="00522A2B">
      <w:pPr>
        <w:pStyle w:val="TableCaption"/>
        <w:spacing w:before="0" w:after="0" w:line="270" w:lineRule="atLeast"/>
        <w:jc w:val="both"/>
        <w:rPr>
          <w:rFonts w:ascii="Linux Libertine O" w:hAnsi="Linux Libertine O" w:cs="Linux Libertine O"/>
          <w:sz w:val="18"/>
          <w:lang w:eastAsia="en-US"/>
        </w:rPr>
      </w:pPr>
      <m:oMathPara>
        <m:oMath>
          <m:r>
            <w:rPr>
              <w:rFonts w:ascii="Cambria Math" w:hAnsi="Cambria Math"/>
              <w:noProof/>
            </w:rPr>
            <m:t xml:space="preserve">t= </m:t>
          </m:r>
          <m:f>
            <m:fPr>
              <m:ctrlPr>
                <w:rPr>
                  <w:rFonts w:ascii="Cambria Math" w:hAnsi="Cambria Math"/>
                  <w:noProof/>
                </w:rPr>
              </m:ctrlPr>
            </m:fPr>
            <m:num>
              <m:r>
                <w:rPr>
                  <w:rFonts w:ascii="Cambria Math" w:hAnsi="Cambria Math"/>
                  <w:noProof/>
                </w:rPr>
                <m:t>(</m:t>
              </m:r>
              <m:acc>
                <m:accPr>
                  <m:chr m:val="̅"/>
                  <m:ctrlPr>
                    <w:rPr>
                      <w:rFonts w:ascii="Cambria Math" w:hAnsi="Cambria Math" w:cs="Cambria Math"/>
                      <w:i/>
                      <w:noProof/>
                    </w:rPr>
                  </m:ctrlPr>
                </m:accPr>
                <m:e>
                  <m:r>
                    <w:rPr>
                      <w:rFonts w:ascii="Cambria Math" w:hAnsi="Cambria Math" w:cs="Cambria Math"/>
                      <w:noProof/>
                    </w:rPr>
                    <m:t>x</m:t>
                  </m:r>
                </m:e>
              </m:acc>
              <m:r>
                <w:rPr>
                  <w:rFonts w:ascii="Cambria Math" w:hAnsi="Cambria Math" w:cs="Cambria Math"/>
                  <w:noProof/>
                </w:rPr>
                <m:t>-μ)</m:t>
              </m:r>
            </m:num>
            <m:den>
              <m:f>
                <m:fPr>
                  <m:ctrlPr>
                    <w:rPr>
                      <w:rFonts w:ascii="Cambria Math" w:hAnsi="Cambria Math"/>
                      <w:i/>
                      <w:noProof/>
                    </w:rPr>
                  </m:ctrlPr>
                </m:fPr>
                <m:num>
                  <m:r>
                    <w:rPr>
                      <w:rFonts w:ascii="Cambria Math" w:hAnsi="Cambria Math"/>
                      <w:noProof/>
                    </w:rPr>
                    <m:t>s</m:t>
                  </m:r>
                </m:num>
                <m:den>
                  <m:rad>
                    <m:radPr>
                      <m:degHide m:val="1"/>
                      <m:ctrlPr>
                        <w:rPr>
                          <w:rFonts w:ascii="Cambria Math" w:hAnsi="Cambria Math"/>
                          <w:i/>
                          <w:noProof/>
                        </w:rPr>
                      </m:ctrlPr>
                    </m:radPr>
                    <m:deg/>
                    <m:e>
                      <m:r>
                        <w:rPr>
                          <w:rFonts w:ascii="Cambria Math" w:hAnsi="Cambria Math"/>
                          <w:noProof/>
                        </w:rPr>
                        <m:t>N</m:t>
                      </m:r>
                    </m:e>
                  </m:rad>
                </m:den>
              </m:f>
            </m:den>
          </m:f>
        </m:oMath>
      </m:oMathPara>
    </w:p>
    <w:p w14:paraId="0F3AB6DF" w14:textId="54E4670C" w:rsidR="006C7A36" w:rsidRDefault="00360267"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 xml:space="preserve">In this formula the mean for each combination of our result is subtracted from the respective result from the paper and then divided by the standard deviation divided by the number of samples. After doing so, we obtained a t-Score. Then it is </w:t>
      </w:r>
      <w:r>
        <w:rPr>
          <w:rFonts w:ascii="Linux Libertine O" w:hAnsi="Linux Libertine O" w:cs="Linux Libertine O"/>
          <w:sz w:val="18"/>
          <w:lang w:eastAsia="en-US"/>
        </w:rPr>
        <w:lastRenderedPageBreak/>
        <w:t xml:space="preserve">checked whether the score is greater than 2.92 or not. If this is the case, then the result of out t-test statistic would say that our result is significantly different than the one from the paper. </w:t>
      </w:r>
    </w:p>
    <w:p w14:paraId="5F8FE457"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BC1FFB3" w14:textId="16D99169" w:rsidR="00600E0B" w:rsidRDefault="00C73B71" w:rsidP="00600E0B">
      <w:pPr>
        <w:pStyle w:val="TableCaption"/>
      </w:pPr>
      <w:r>
        <w:t xml:space="preserve">Table </w:t>
      </w:r>
      <w:fldSimple w:instr=" SEQ Table \* ARABIC ">
        <w:r w:rsidR="00C561A2">
          <w:rPr>
            <w:noProof/>
          </w:rPr>
          <w:t>2</w:t>
        </w:r>
      </w:fldSimple>
      <w:r>
        <w:t>: The mean of the results we obtained</w:t>
      </w:r>
      <w:r w:rsidR="005209AA">
        <w:t>.</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3B4AB8" w:rsidRPr="00772D8F" w14:paraId="350B92D5" w14:textId="0FA1916F" w:rsidTr="00C73B71">
        <w:trPr>
          <w:tblHeader/>
        </w:trPr>
        <w:tc>
          <w:tcPr>
            <w:tcW w:w="875" w:type="dxa"/>
            <w:tcBorders>
              <w:top w:val="single" w:sz="4" w:space="0" w:color="auto"/>
              <w:bottom w:val="single" w:sz="4" w:space="0" w:color="auto"/>
            </w:tcBorders>
          </w:tcPr>
          <w:p w14:paraId="4D6A74A3" w14:textId="2E861042" w:rsidR="003B4AB8" w:rsidRPr="003B4AB8" w:rsidRDefault="003B4AB8"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08096C55" w14:textId="34B7C6DB"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C8DBE8F" w14:textId="390C3C6E"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5DE9E29F" w14:textId="5F254E31" w:rsidR="003B4AB8" w:rsidRPr="00772D8F" w:rsidRDefault="003B4AB8"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669BFE" w14:textId="09DE93A9"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4D4714F" w14:textId="554B0688"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37256763" w14:textId="2022427C"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E47CAF6" w14:textId="055E3AB4"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502FA9F0" w14:textId="3A6E0E7A"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4455075F" w14:textId="2E65FFB7"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3B4AB8" w:rsidRPr="00772D8F" w14:paraId="4286CD17" w14:textId="0D089C42" w:rsidTr="00C73B71">
        <w:tc>
          <w:tcPr>
            <w:tcW w:w="875" w:type="dxa"/>
            <w:tcBorders>
              <w:top w:val="single" w:sz="4" w:space="0" w:color="auto"/>
            </w:tcBorders>
          </w:tcPr>
          <w:p w14:paraId="180CB286" w14:textId="1C2BDC2C" w:rsidR="003B4AB8" w:rsidRPr="00772D8F" w:rsidRDefault="003B4AB8" w:rsidP="004D5E67">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4CDA6963" w14:textId="77777777" w:rsidR="003B4AB8" w:rsidRDefault="003B4AB8" w:rsidP="004D5E67">
            <w:pPr>
              <w:pStyle w:val="TableCell"/>
              <w:ind w:firstLine="0"/>
            </w:pPr>
            <w:r>
              <w:t>Deezer</w:t>
            </w:r>
          </w:p>
          <w:p w14:paraId="3A297A8C" w14:textId="24554F2C" w:rsidR="003B4AB8" w:rsidRPr="00772D8F" w:rsidRDefault="003B4AB8" w:rsidP="004D5E67">
            <w:pPr>
              <w:pStyle w:val="TableCell"/>
              <w:ind w:firstLine="0"/>
            </w:pPr>
            <w:r>
              <w:t>iTunes</w:t>
            </w:r>
          </w:p>
        </w:tc>
        <w:tc>
          <w:tcPr>
            <w:tcW w:w="953" w:type="dxa"/>
            <w:tcBorders>
              <w:top w:val="single" w:sz="4" w:space="0" w:color="auto"/>
            </w:tcBorders>
          </w:tcPr>
          <w:p w14:paraId="3D52CF9E" w14:textId="77777777" w:rsidR="003B4AB8" w:rsidRDefault="003B4AB8" w:rsidP="004D5E67">
            <w:pPr>
              <w:pStyle w:val="TableCell"/>
              <w:ind w:firstLine="0"/>
            </w:pPr>
            <w:r>
              <w:t>52.13</w:t>
            </w:r>
          </w:p>
          <w:p w14:paraId="644F2BB7" w14:textId="2363B126" w:rsidR="003B4AB8" w:rsidRPr="00772D8F" w:rsidRDefault="003B4AB8" w:rsidP="004D5E67">
            <w:pPr>
              <w:pStyle w:val="TableCell"/>
              <w:ind w:firstLine="0"/>
            </w:pPr>
            <w:r>
              <w:t>50.12</w:t>
            </w:r>
          </w:p>
        </w:tc>
        <w:tc>
          <w:tcPr>
            <w:tcW w:w="929" w:type="dxa"/>
            <w:tcBorders>
              <w:top w:val="single" w:sz="4" w:space="0" w:color="auto"/>
            </w:tcBorders>
          </w:tcPr>
          <w:p w14:paraId="37B13AF6" w14:textId="77777777" w:rsidR="003B4AB8" w:rsidRDefault="00F80819" w:rsidP="004D5E67">
            <w:pPr>
              <w:pStyle w:val="TableCell"/>
              <w:ind w:firstLine="0"/>
            </w:pPr>
            <w:r>
              <w:t>51.47</w:t>
            </w:r>
          </w:p>
          <w:p w14:paraId="72AF0D70" w14:textId="700F9885" w:rsidR="00F80819" w:rsidRDefault="00F80819" w:rsidP="004D5E67">
            <w:pPr>
              <w:pStyle w:val="TableCell"/>
              <w:ind w:firstLine="0"/>
            </w:pPr>
            <w:r>
              <w:t>51.79</w:t>
            </w:r>
          </w:p>
        </w:tc>
        <w:tc>
          <w:tcPr>
            <w:tcW w:w="958" w:type="dxa"/>
            <w:tcBorders>
              <w:top w:val="single" w:sz="4" w:space="0" w:color="auto"/>
            </w:tcBorders>
          </w:tcPr>
          <w:p w14:paraId="2A3D2A8A" w14:textId="77777777" w:rsidR="003B4AB8" w:rsidRDefault="00E81EAD" w:rsidP="004D5E67">
            <w:pPr>
              <w:pStyle w:val="TableCell"/>
              <w:ind w:firstLine="0"/>
            </w:pPr>
            <w:r>
              <w:t>51.24</w:t>
            </w:r>
          </w:p>
          <w:p w14:paraId="4808EDB1" w14:textId="2C4F07C2" w:rsidR="00E81EAD" w:rsidRDefault="00E81EAD" w:rsidP="004D5E67">
            <w:pPr>
              <w:pStyle w:val="TableCell"/>
              <w:ind w:firstLine="0"/>
            </w:pPr>
            <w:r>
              <w:t>52.53</w:t>
            </w:r>
          </w:p>
        </w:tc>
        <w:tc>
          <w:tcPr>
            <w:tcW w:w="992" w:type="dxa"/>
            <w:tcBorders>
              <w:top w:val="single" w:sz="4" w:space="0" w:color="auto"/>
            </w:tcBorders>
          </w:tcPr>
          <w:p w14:paraId="4FE5723F" w14:textId="77777777" w:rsidR="003B4AB8" w:rsidRDefault="00E81EAD" w:rsidP="004D5E67">
            <w:pPr>
              <w:pStyle w:val="TableCell"/>
              <w:ind w:firstLine="0"/>
            </w:pPr>
            <w:r>
              <w:t>51.61</w:t>
            </w:r>
          </w:p>
          <w:p w14:paraId="4C4D0A09" w14:textId="22DBA9E9" w:rsidR="00E81EAD" w:rsidRPr="00772D8F" w:rsidRDefault="00E81EAD" w:rsidP="004D5E67">
            <w:pPr>
              <w:pStyle w:val="TableCell"/>
              <w:ind w:firstLine="0"/>
            </w:pPr>
            <w:r>
              <w:t>52.43</w:t>
            </w:r>
          </w:p>
        </w:tc>
        <w:tc>
          <w:tcPr>
            <w:tcW w:w="828" w:type="dxa"/>
            <w:tcBorders>
              <w:top w:val="single" w:sz="4" w:space="0" w:color="auto"/>
            </w:tcBorders>
          </w:tcPr>
          <w:p w14:paraId="5B5BD4AC" w14:textId="77777777" w:rsidR="003B4AB8" w:rsidRDefault="00E81EAD" w:rsidP="004D5E67">
            <w:pPr>
              <w:pStyle w:val="TableCell"/>
              <w:ind w:firstLine="0"/>
            </w:pPr>
            <w:r>
              <w:t>54.09</w:t>
            </w:r>
          </w:p>
          <w:p w14:paraId="4E9AF0AD" w14:textId="21C4AC0A" w:rsidR="00E81EAD" w:rsidRDefault="00E81EAD" w:rsidP="004D5E67">
            <w:pPr>
              <w:pStyle w:val="TableCell"/>
              <w:ind w:firstLine="0"/>
            </w:pPr>
            <w:r>
              <w:t>51.42</w:t>
            </w:r>
          </w:p>
        </w:tc>
        <w:tc>
          <w:tcPr>
            <w:tcW w:w="828" w:type="dxa"/>
            <w:tcBorders>
              <w:top w:val="single" w:sz="4" w:space="0" w:color="auto"/>
            </w:tcBorders>
          </w:tcPr>
          <w:p w14:paraId="5D2854FA" w14:textId="77777777" w:rsidR="003B4AB8" w:rsidRDefault="00E81EAD" w:rsidP="004D5E67">
            <w:pPr>
              <w:pStyle w:val="TableCell"/>
              <w:ind w:firstLine="0"/>
            </w:pPr>
            <w:r>
              <w:t>52.68</w:t>
            </w:r>
          </w:p>
          <w:p w14:paraId="1D4EAF94" w14:textId="0F4DE2EC" w:rsidR="00E81EAD" w:rsidRDefault="00E81EAD" w:rsidP="004D5E67">
            <w:pPr>
              <w:pStyle w:val="TableCell"/>
              <w:ind w:firstLine="0"/>
            </w:pPr>
            <w:r>
              <w:t>52.35</w:t>
            </w:r>
          </w:p>
        </w:tc>
        <w:tc>
          <w:tcPr>
            <w:tcW w:w="828" w:type="dxa"/>
            <w:tcBorders>
              <w:top w:val="single" w:sz="4" w:space="0" w:color="auto"/>
            </w:tcBorders>
          </w:tcPr>
          <w:p w14:paraId="20E4220C" w14:textId="77777777" w:rsidR="003B4AB8" w:rsidRDefault="00E81EAD" w:rsidP="004D5E67">
            <w:pPr>
              <w:pStyle w:val="TableCell"/>
              <w:ind w:firstLine="0"/>
            </w:pPr>
            <w:r>
              <w:t>53.05</w:t>
            </w:r>
          </w:p>
          <w:p w14:paraId="76CF9E69" w14:textId="030C69BD" w:rsidR="00E81EAD" w:rsidRDefault="00E81EAD" w:rsidP="004D5E67">
            <w:pPr>
              <w:pStyle w:val="TableCell"/>
              <w:ind w:firstLine="0"/>
            </w:pPr>
            <w:r>
              <w:t>48.78</w:t>
            </w:r>
          </w:p>
        </w:tc>
        <w:tc>
          <w:tcPr>
            <w:tcW w:w="828" w:type="dxa"/>
            <w:tcBorders>
              <w:top w:val="single" w:sz="4" w:space="0" w:color="auto"/>
            </w:tcBorders>
          </w:tcPr>
          <w:p w14:paraId="5C637EF9" w14:textId="77777777" w:rsidR="003B4AB8" w:rsidRDefault="00E81EAD" w:rsidP="004D5E67">
            <w:pPr>
              <w:pStyle w:val="TableCell"/>
              <w:ind w:firstLine="0"/>
            </w:pPr>
            <w:r>
              <w:t>51.04</w:t>
            </w:r>
          </w:p>
          <w:p w14:paraId="1E5F542A" w14:textId="07F5FDC6" w:rsidR="00E81EAD" w:rsidRDefault="00E81EAD" w:rsidP="004D5E67">
            <w:pPr>
              <w:pStyle w:val="TableCell"/>
              <w:ind w:firstLine="0"/>
            </w:pPr>
            <w:r>
              <w:t>50.52</w:t>
            </w:r>
          </w:p>
        </w:tc>
      </w:tr>
      <w:tr w:rsidR="003B4AB8" w:rsidRPr="00772D8F" w14:paraId="2AF9D8F0" w14:textId="4A2C8DF9" w:rsidTr="00C73B71">
        <w:tc>
          <w:tcPr>
            <w:tcW w:w="875" w:type="dxa"/>
          </w:tcPr>
          <w:p w14:paraId="4876D2AE" w14:textId="751AAE89" w:rsidR="003B4AB8" w:rsidRPr="00772D8F" w:rsidRDefault="003B4AB8" w:rsidP="003B4AB8">
            <w:pPr>
              <w:pStyle w:val="TableCell"/>
            </w:pPr>
            <w:r>
              <w:t>50</w:t>
            </w:r>
          </w:p>
        </w:tc>
        <w:tc>
          <w:tcPr>
            <w:tcW w:w="741" w:type="dxa"/>
          </w:tcPr>
          <w:p w14:paraId="61768B70" w14:textId="77777777" w:rsidR="003B4AB8" w:rsidRDefault="003B4AB8" w:rsidP="003B4AB8">
            <w:pPr>
              <w:pStyle w:val="TableCell"/>
              <w:ind w:firstLine="0"/>
            </w:pPr>
            <w:r>
              <w:t>Deezer</w:t>
            </w:r>
          </w:p>
          <w:p w14:paraId="117D498F" w14:textId="1BD04293" w:rsidR="003B4AB8" w:rsidRPr="00772D8F" w:rsidRDefault="003B4AB8" w:rsidP="003B4AB8">
            <w:pPr>
              <w:pStyle w:val="TableCell"/>
              <w:ind w:firstLine="0"/>
            </w:pPr>
            <w:r>
              <w:t>iTunes</w:t>
            </w:r>
          </w:p>
        </w:tc>
        <w:tc>
          <w:tcPr>
            <w:tcW w:w="953" w:type="dxa"/>
          </w:tcPr>
          <w:p w14:paraId="3A18DB24" w14:textId="77777777" w:rsidR="003B4AB8" w:rsidRDefault="00F80819" w:rsidP="003B4AB8">
            <w:pPr>
              <w:pStyle w:val="TableCell"/>
              <w:ind w:firstLine="0"/>
            </w:pPr>
            <w:r>
              <w:t>51.37</w:t>
            </w:r>
          </w:p>
          <w:p w14:paraId="0E7BBF74" w14:textId="264AD334" w:rsidR="00F80819" w:rsidRPr="00772D8F" w:rsidRDefault="00F80819" w:rsidP="003B4AB8">
            <w:pPr>
              <w:pStyle w:val="TableCell"/>
              <w:ind w:firstLine="0"/>
            </w:pPr>
            <w:r>
              <w:t>50.37</w:t>
            </w:r>
          </w:p>
        </w:tc>
        <w:tc>
          <w:tcPr>
            <w:tcW w:w="929" w:type="dxa"/>
          </w:tcPr>
          <w:p w14:paraId="7418E05B" w14:textId="77777777" w:rsidR="003B4AB8" w:rsidRDefault="00F80819" w:rsidP="003B4AB8">
            <w:pPr>
              <w:pStyle w:val="TableCell"/>
              <w:ind w:firstLine="0"/>
            </w:pPr>
            <w:r>
              <w:t>52.86</w:t>
            </w:r>
          </w:p>
          <w:p w14:paraId="5A6D6893" w14:textId="52938F7E" w:rsidR="00F80819" w:rsidRDefault="00F80819" w:rsidP="003B4AB8">
            <w:pPr>
              <w:pStyle w:val="TableCell"/>
              <w:ind w:firstLine="0"/>
            </w:pPr>
            <w:r>
              <w:t>51.66</w:t>
            </w:r>
          </w:p>
        </w:tc>
        <w:tc>
          <w:tcPr>
            <w:tcW w:w="958" w:type="dxa"/>
          </w:tcPr>
          <w:p w14:paraId="1F7B06F9" w14:textId="77777777" w:rsidR="003B4AB8" w:rsidRDefault="00E81EAD" w:rsidP="003B4AB8">
            <w:pPr>
              <w:pStyle w:val="TableCell"/>
              <w:ind w:firstLine="0"/>
            </w:pPr>
            <w:r>
              <w:t>51.71</w:t>
            </w:r>
          </w:p>
          <w:p w14:paraId="49B7EA75" w14:textId="6431494B" w:rsidR="00E81EAD" w:rsidRDefault="00E81EAD" w:rsidP="003B4AB8">
            <w:pPr>
              <w:pStyle w:val="TableCell"/>
              <w:ind w:firstLine="0"/>
            </w:pPr>
            <w:r>
              <w:t>51.65</w:t>
            </w:r>
          </w:p>
        </w:tc>
        <w:tc>
          <w:tcPr>
            <w:tcW w:w="992" w:type="dxa"/>
          </w:tcPr>
          <w:p w14:paraId="04F8E21C" w14:textId="77777777" w:rsidR="003B4AB8" w:rsidRDefault="00E81EAD" w:rsidP="003B4AB8">
            <w:pPr>
              <w:pStyle w:val="TableCell"/>
              <w:ind w:firstLine="0"/>
            </w:pPr>
            <w:r>
              <w:t>52.13</w:t>
            </w:r>
          </w:p>
          <w:p w14:paraId="3C6C8A13" w14:textId="5E4C1348" w:rsidR="00E81EAD" w:rsidRPr="00772D8F" w:rsidRDefault="00E81EAD" w:rsidP="003B4AB8">
            <w:pPr>
              <w:pStyle w:val="TableCell"/>
              <w:ind w:firstLine="0"/>
            </w:pPr>
            <w:r>
              <w:t>53.50</w:t>
            </w:r>
          </w:p>
        </w:tc>
        <w:tc>
          <w:tcPr>
            <w:tcW w:w="828" w:type="dxa"/>
          </w:tcPr>
          <w:p w14:paraId="1667DAFA" w14:textId="77777777" w:rsidR="003B4AB8" w:rsidRDefault="00E81EAD" w:rsidP="003B4AB8">
            <w:pPr>
              <w:pStyle w:val="TableCell"/>
              <w:ind w:firstLine="0"/>
            </w:pPr>
            <w:r>
              <w:t>51.09</w:t>
            </w:r>
          </w:p>
          <w:p w14:paraId="6668D93C" w14:textId="19BEBC78" w:rsidR="00E81EAD" w:rsidRDefault="00E81EAD" w:rsidP="003B4AB8">
            <w:pPr>
              <w:pStyle w:val="TableCell"/>
              <w:ind w:firstLine="0"/>
            </w:pPr>
            <w:r>
              <w:t>52.55</w:t>
            </w:r>
          </w:p>
        </w:tc>
        <w:tc>
          <w:tcPr>
            <w:tcW w:w="828" w:type="dxa"/>
          </w:tcPr>
          <w:p w14:paraId="0B5D04ED" w14:textId="77777777" w:rsidR="003B4AB8" w:rsidRDefault="00E81EAD" w:rsidP="003B4AB8">
            <w:pPr>
              <w:pStyle w:val="TableCell"/>
              <w:ind w:firstLine="0"/>
            </w:pPr>
            <w:r>
              <w:t>52.70</w:t>
            </w:r>
          </w:p>
          <w:p w14:paraId="51D9F7E7" w14:textId="4DDD6FED" w:rsidR="00E81EAD" w:rsidRDefault="00E81EAD" w:rsidP="003B4AB8">
            <w:pPr>
              <w:pStyle w:val="TableCell"/>
              <w:ind w:firstLine="0"/>
            </w:pPr>
            <w:r>
              <w:t>50.63</w:t>
            </w:r>
          </w:p>
        </w:tc>
        <w:tc>
          <w:tcPr>
            <w:tcW w:w="828" w:type="dxa"/>
          </w:tcPr>
          <w:p w14:paraId="6A76AB6B" w14:textId="77777777" w:rsidR="003B4AB8" w:rsidRDefault="00E81EAD" w:rsidP="003B4AB8">
            <w:pPr>
              <w:pStyle w:val="TableCell"/>
              <w:ind w:firstLine="0"/>
            </w:pPr>
            <w:r>
              <w:t>50.66</w:t>
            </w:r>
          </w:p>
          <w:p w14:paraId="2A0A6E4B" w14:textId="758F1FC8" w:rsidR="00E81EAD" w:rsidRDefault="00E81EAD" w:rsidP="003B4AB8">
            <w:pPr>
              <w:pStyle w:val="TableCell"/>
              <w:ind w:firstLine="0"/>
            </w:pPr>
            <w:r>
              <w:t>50.86</w:t>
            </w:r>
          </w:p>
        </w:tc>
        <w:tc>
          <w:tcPr>
            <w:tcW w:w="828" w:type="dxa"/>
          </w:tcPr>
          <w:p w14:paraId="7B93568D" w14:textId="77777777" w:rsidR="003B4AB8" w:rsidRDefault="00E81EAD" w:rsidP="003B4AB8">
            <w:pPr>
              <w:pStyle w:val="TableCell"/>
              <w:ind w:firstLine="0"/>
            </w:pPr>
            <w:r>
              <w:t>52.50</w:t>
            </w:r>
          </w:p>
          <w:p w14:paraId="2A4F6492" w14:textId="4723E343" w:rsidR="00E81EAD" w:rsidRDefault="00E81EAD" w:rsidP="003B4AB8">
            <w:pPr>
              <w:pStyle w:val="TableCell"/>
              <w:ind w:firstLine="0"/>
            </w:pPr>
            <w:r>
              <w:t>51.01</w:t>
            </w:r>
          </w:p>
        </w:tc>
      </w:tr>
      <w:tr w:rsidR="003B4AB8" w:rsidRPr="00772D8F" w14:paraId="62C7CD03" w14:textId="42D20A15" w:rsidTr="00C73B71">
        <w:tc>
          <w:tcPr>
            <w:tcW w:w="875" w:type="dxa"/>
          </w:tcPr>
          <w:p w14:paraId="326D88CF" w14:textId="455D2069" w:rsidR="003B4AB8" w:rsidRPr="00772D8F" w:rsidRDefault="003B4AB8" w:rsidP="004D5E67">
            <w:pPr>
              <w:pStyle w:val="TableCell"/>
            </w:pPr>
            <w:r>
              <w:t>100</w:t>
            </w:r>
          </w:p>
        </w:tc>
        <w:tc>
          <w:tcPr>
            <w:tcW w:w="741" w:type="dxa"/>
          </w:tcPr>
          <w:p w14:paraId="2F2638A7" w14:textId="77777777" w:rsidR="003B4AB8" w:rsidRDefault="003B4AB8" w:rsidP="004D5E67">
            <w:pPr>
              <w:pStyle w:val="TableCell"/>
              <w:ind w:firstLine="0"/>
            </w:pPr>
            <w:r>
              <w:t>Deezer</w:t>
            </w:r>
          </w:p>
          <w:p w14:paraId="68583522" w14:textId="77777777" w:rsidR="003B4AB8" w:rsidRPr="00772D8F" w:rsidRDefault="003B4AB8" w:rsidP="004D5E67">
            <w:pPr>
              <w:pStyle w:val="TableCell"/>
              <w:ind w:firstLine="0"/>
            </w:pPr>
            <w:r>
              <w:t>iTunes</w:t>
            </w:r>
          </w:p>
        </w:tc>
        <w:tc>
          <w:tcPr>
            <w:tcW w:w="953" w:type="dxa"/>
          </w:tcPr>
          <w:p w14:paraId="1CE4538F" w14:textId="77777777" w:rsidR="003B4AB8" w:rsidRDefault="00F80819" w:rsidP="004D5E67">
            <w:pPr>
              <w:pStyle w:val="TableCell"/>
              <w:ind w:firstLine="0"/>
            </w:pPr>
            <w:r>
              <w:t>51.88</w:t>
            </w:r>
          </w:p>
          <w:p w14:paraId="1AFB4AB8" w14:textId="1F831B50" w:rsidR="00F80819" w:rsidRPr="00772D8F" w:rsidRDefault="00F80819" w:rsidP="004D5E67">
            <w:pPr>
              <w:pStyle w:val="TableCell"/>
              <w:ind w:firstLine="0"/>
            </w:pPr>
            <w:r>
              <w:t>49.35</w:t>
            </w:r>
          </w:p>
        </w:tc>
        <w:tc>
          <w:tcPr>
            <w:tcW w:w="929" w:type="dxa"/>
          </w:tcPr>
          <w:p w14:paraId="73F70404" w14:textId="77777777" w:rsidR="003B4AB8" w:rsidRDefault="00F80819" w:rsidP="004D5E67">
            <w:pPr>
              <w:pStyle w:val="TableCell"/>
              <w:ind w:firstLine="0"/>
            </w:pPr>
            <w:r>
              <w:t>49.72</w:t>
            </w:r>
          </w:p>
          <w:p w14:paraId="0576F76D" w14:textId="05CAE62B" w:rsidR="00F80819" w:rsidRDefault="00F80819" w:rsidP="004D5E67">
            <w:pPr>
              <w:pStyle w:val="TableCell"/>
              <w:ind w:firstLine="0"/>
            </w:pPr>
            <w:r>
              <w:t>52.08</w:t>
            </w:r>
          </w:p>
        </w:tc>
        <w:tc>
          <w:tcPr>
            <w:tcW w:w="958" w:type="dxa"/>
          </w:tcPr>
          <w:p w14:paraId="46316F4C" w14:textId="77777777" w:rsidR="003B4AB8" w:rsidRDefault="00E81EAD" w:rsidP="004D5E67">
            <w:pPr>
              <w:pStyle w:val="TableCell"/>
              <w:ind w:firstLine="0"/>
            </w:pPr>
            <w:r>
              <w:t>50.74</w:t>
            </w:r>
          </w:p>
          <w:p w14:paraId="3659DB55" w14:textId="4647DC0B" w:rsidR="00E81EAD" w:rsidRDefault="00E81EAD" w:rsidP="004D5E67">
            <w:pPr>
              <w:pStyle w:val="TableCell"/>
              <w:ind w:firstLine="0"/>
            </w:pPr>
            <w:r>
              <w:t>50.41</w:t>
            </w:r>
          </w:p>
        </w:tc>
        <w:tc>
          <w:tcPr>
            <w:tcW w:w="992" w:type="dxa"/>
          </w:tcPr>
          <w:p w14:paraId="13B44B14" w14:textId="77777777" w:rsidR="003B4AB8" w:rsidRDefault="00E81EAD" w:rsidP="004D5E67">
            <w:pPr>
              <w:pStyle w:val="TableCell"/>
              <w:ind w:firstLine="0"/>
            </w:pPr>
            <w:r>
              <w:t>50.26</w:t>
            </w:r>
          </w:p>
          <w:p w14:paraId="356E47DE" w14:textId="5CE62A2A" w:rsidR="00E81EAD" w:rsidRPr="00772D8F" w:rsidRDefault="00E81EAD" w:rsidP="004D5E67">
            <w:pPr>
              <w:pStyle w:val="TableCell"/>
              <w:ind w:firstLine="0"/>
            </w:pPr>
            <w:r>
              <w:t>50.19</w:t>
            </w:r>
          </w:p>
        </w:tc>
        <w:tc>
          <w:tcPr>
            <w:tcW w:w="828" w:type="dxa"/>
          </w:tcPr>
          <w:p w14:paraId="5DF14D59" w14:textId="77777777" w:rsidR="003B4AB8" w:rsidRDefault="00E81EAD" w:rsidP="004D5E67">
            <w:pPr>
              <w:pStyle w:val="TableCell"/>
              <w:ind w:firstLine="0"/>
            </w:pPr>
            <w:r>
              <w:t>54.58</w:t>
            </w:r>
          </w:p>
          <w:p w14:paraId="69D8C01D" w14:textId="6810AC7A" w:rsidR="00E81EAD" w:rsidRDefault="00E81EAD" w:rsidP="004D5E67">
            <w:pPr>
              <w:pStyle w:val="TableCell"/>
              <w:ind w:firstLine="0"/>
            </w:pPr>
            <w:r>
              <w:t>50.75</w:t>
            </w:r>
          </w:p>
        </w:tc>
        <w:tc>
          <w:tcPr>
            <w:tcW w:w="828" w:type="dxa"/>
          </w:tcPr>
          <w:p w14:paraId="2E1987F9" w14:textId="77777777" w:rsidR="003B4AB8" w:rsidRDefault="00E81EAD" w:rsidP="004D5E67">
            <w:pPr>
              <w:pStyle w:val="TableCell"/>
              <w:ind w:firstLine="0"/>
            </w:pPr>
            <w:r>
              <w:t>51.16</w:t>
            </w:r>
          </w:p>
          <w:p w14:paraId="7E2B9E2E" w14:textId="307E8569" w:rsidR="00E81EAD" w:rsidRDefault="00E81EAD" w:rsidP="004D5E67">
            <w:pPr>
              <w:pStyle w:val="TableCell"/>
              <w:ind w:firstLine="0"/>
            </w:pPr>
            <w:r>
              <w:t>50.16</w:t>
            </w:r>
          </w:p>
        </w:tc>
        <w:tc>
          <w:tcPr>
            <w:tcW w:w="828" w:type="dxa"/>
          </w:tcPr>
          <w:p w14:paraId="4BD09A0D" w14:textId="77777777" w:rsidR="003B4AB8" w:rsidRDefault="00E81EAD" w:rsidP="004D5E67">
            <w:pPr>
              <w:pStyle w:val="TableCell"/>
              <w:ind w:firstLine="0"/>
            </w:pPr>
            <w:r>
              <w:t>49.97</w:t>
            </w:r>
          </w:p>
          <w:p w14:paraId="48FDAC13" w14:textId="5186FF86" w:rsidR="00E81EAD" w:rsidRDefault="00E81EAD" w:rsidP="004D5E67">
            <w:pPr>
              <w:pStyle w:val="TableCell"/>
              <w:ind w:firstLine="0"/>
            </w:pPr>
            <w:r>
              <w:t>50.94</w:t>
            </w:r>
          </w:p>
        </w:tc>
        <w:tc>
          <w:tcPr>
            <w:tcW w:w="828" w:type="dxa"/>
          </w:tcPr>
          <w:p w14:paraId="47B99DCB" w14:textId="77777777" w:rsidR="003B4AB8" w:rsidRDefault="00E81EAD" w:rsidP="004D5E67">
            <w:pPr>
              <w:pStyle w:val="TableCell"/>
              <w:ind w:firstLine="0"/>
            </w:pPr>
            <w:r>
              <w:t>52.28</w:t>
            </w:r>
          </w:p>
          <w:p w14:paraId="0ED9A7B1" w14:textId="6FB232DE" w:rsidR="00E81EAD" w:rsidRDefault="00E81EAD" w:rsidP="004D5E67">
            <w:pPr>
              <w:pStyle w:val="TableCell"/>
              <w:ind w:firstLine="0"/>
            </w:pPr>
            <w:r>
              <w:t>50.98</w:t>
            </w:r>
          </w:p>
        </w:tc>
      </w:tr>
      <w:tr w:rsidR="003B4AB8" w:rsidRPr="00772D8F" w14:paraId="5F3F42AE" w14:textId="4F02DF88" w:rsidTr="00C73B71">
        <w:tc>
          <w:tcPr>
            <w:tcW w:w="875" w:type="dxa"/>
            <w:tcBorders>
              <w:bottom w:val="single" w:sz="4" w:space="0" w:color="auto"/>
            </w:tcBorders>
          </w:tcPr>
          <w:p w14:paraId="53C851F5" w14:textId="13870BE5" w:rsidR="003B4AB8" w:rsidRPr="001B633D" w:rsidRDefault="003B4AB8" w:rsidP="003B4AB8">
            <w:pPr>
              <w:pStyle w:val="TableCell"/>
            </w:pPr>
            <w:r>
              <w:t>200</w:t>
            </w:r>
          </w:p>
        </w:tc>
        <w:tc>
          <w:tcPr>
            <w:tcW w:w="741" w:type="dxa"/>
            <w:tcBorders>
              <w:bottom w:val="single" w:sz="4" w:space="0" w:color="auto"/>
            </w:tcBorders>
          </w:tcPr>
          <w:p w14:paraId="3DFBB263" w14:textId="77777777" w:rsidR="003B4AB8" w:rsidRDefault="003B4AB8" w:rsidP="003B4AB8">
            <w:pPr>
              <w:pStyle w:val="TableCell"/>
              <w:ind w:firstLine="0"/>
            </w:pPr>
            <w:r>
              <w:t>Deezer</w:t>
            </w:r>
          </w:p>
          <w:p w14:paraId="46FD0A5B" w14:textId="7BF76736" w:rsidR="003B4AB8" w:rsidRPr="001B633D" w:rsidRDefault="003B4AB8" w:rsidP="003B4AB8">
            <w:pPr>
              <w:pStyle w:val="TableCell"/>
              <w:ind w:firstLine="0"/>
            </w:pPr>
            <w:r>
              <w:t>iTunes</w:t>
            </w:r>
          </w:p>
        </w:tc>
        <w:tc>
          <w:tcPr>
            <w:tcW w:w="953" w:type="dxa"/>
            <w:tcBorders>
              <w:bottom w:val="single" w:sz="4" w:space="0" w:color="auto"/>
            </w:tcBorders>
          </w:tcPr>
          <w:p w14:paraId="0D08A506" w14:textId="77777777" w:rsidR="003B4AB8" w:rsidRDefault="00F80819" w:rsidP="003B4AB8">
            <w:pPr>
              <w:pStyle w:val="TableCell"/>
              <w:ind w:firstLine="0"/>
            </w:pPr>
            <w:r>
              <w:t>51.82</w:t>
            </w:r>
          </w:p>
          <w:p w14:paraId="7483238A" w14:textId="16915F66" w:rsidR="00F80819" w:rsidRPr="001B633D" w:rsidRDefault="00F80819" w:rsidP="003B4AB8">
            <w:pPr>
              <w:pStyle w:val="TableCell"/>
              <w:ind w:firstLine="0"/>
            </w:pPr>
            <w:r>
              <w:t>49.34</w:t>
            </w:r>
          </w:p>
        </w:tc>
        <w:tc>
          <w:tcPr>
            <w:tcW w:w="929" w:type="dxa"/>
            <w:tcBorders>
              <w:bottom w:val="single" w:sz="4" w:space="0" w:color="auto"/>
            </w:tcBorders>
          </w:tcPr>
          <w:p w14:paraId="4FE1DC7B" w14:textId="77777777" w:rsidR="003B4AB8" w:rsidRDefault="00F80819" w:rsidP="003B4AB8">
            <w:pPr>
              <w:pStyle w:val="TableCell"/>
              <w:ind w:firstLine="0"/>
            </w:pPr>
            <w:r>
              <w:t>48.15</w:t>
            </w:r>
          </w:p>
          <w:p w14:paraId="2D612B4E" w14:textId="495BCD12" w:rsidR="00F80819" w:rsidRDefault="00F80819" w:rsidP="003B4AB8">
            <w:pPr>
              <w:pStyle w:val="TableCell"/>
              <w:ind w:firstLine="0"/>
            </w:pPr>
            <w:r>
              <w:t>50.65</w:t>
            </w:r>
          </w:p>
        </w:tc>
        <w:tc>
          <w:tcPr>
            <w:tcW w:w="958" w:type="dxa"/>
            <w:tcBorders>
              <w:bottom w:val="single" w:sz="4" w:space="0" w:color="auto"/>
            </w:tcBorders>
          </w:tcPr>
          <w:p w14:paraId="4A111272" w14:textId="77777777" w:rsidR="003B4AB8" w:rsidRDefault="00E81EAD" w:rsidP="003B4AB8">
            <w:pPr>
              <w:pStyle w:val="TableCell"/>
              <w:ind w:firstLine="0"/>
            </w:pPr>
            <w:r>
              <w:t>51.71</w:t>
            </w:r>
          </w:p>
          <w:p w14:paraId="26502866" w14:textId="02C5D191" w:rsidR="00E81EAD" w:rsidRDefault="00E81EAD" w:rsidP="003B4AB8">
            <w:pPr>
              <w:pStyle w:val="TableCell"/>
              <w:ind w:firstLine="0"/>
            </w:pPr>
            <w:r>
              <w:t>51.61</w:t>
            </w:r>
          </w:p>
        </w:tc>
        <w:tc>
          <w:tcPr>
            <w:tcW w:w="992" w:type="dxa"/>
            <w:tcBorders>
              <w:bottom w:val="single" w:sz="4" w:space="0" w:color="auto"/>
            </w:tcBorders>
          </w:tcPr>
          <w:p w14:paraId="61531375" w14:textId="4B1E6C42" w:rsidR="003B4AB8" w:rsidRDefault="00E81EAD" w:rsidP="003B4AB8">
            <w:pPr>
              <w:pStyle w:val="TableCell"/>
              <w:ind w:firstLine="0"/>
            </w:pPr>
            <w:r>
              <w:t>49.50</w:t>
            </w:r>
          </w:p>
          <w:p w14:paraId="65F76735" w14:textId="223845E0" w:rsidR="00E81EAD" w:rsidRPr="00AD6C5E" w:rsidRDefault="00E81EAD" w:rsidP="003B4AB8">
            <w:pPr>
              <w:pStyle w:val="TableCell"/>
              <w:ind w:firstLine="0"/>
            </w:pPr>
            <w:r>
              <w:t>49.60</w:t>
            </w:r>
          </w:p>
        </w:tc>
        <w:tc>
          <w:tcPr>
            <w:tcW w:w="828" w:type="dxa"/>
            <w:tcBorders>
              <w:bottom w:val="single" w:sz="4" w:space="0" w:color="auto"/>
            </w:tcBorders>
          </w:tcPr>
          <w:p w14:paraId="313F776C" w14:textId="77777777" w:rsidR="003B4AB8" w:rsidRDefault="00E81EAD" w:rsidP="003B4AB8">
            <w:pPr>
              <w:pStyle w:val="TableCell"/>
              <w:ind w:firstLine="0"/>
            </w:pPr>
            <w:r>
              <w:t>51.24</w:t>
            </w:r>
          </w:p>
          <w:p w14:paraId="6307CCC1" w14:textId="0A84E857" w:rsidR="00E81EAD" w:rsidRDefault="00E81EAD" w:rsidP="003B4AB8">
            <w:pPr>
              <w:pStyle w:val="TableCell"/>
              <w:ind w:firstLine="0"/>
            </w:pPr>
            <w:r>
              <w:t>50.25</w:t>
            </w:r>
          </w:p>
        </w:tc>
        <w:tc>
          <w:tcPr>
            <w:tcW w:w="828" w:type="dxa"/>
            <w:tcBorders>
              <w:bottom w:val="single" w:sz="4" w:space="0" w:color="auto"/>
            </w:tcBorders>
          </w:tcPr>
          <w:p w14:paraId="1E4B4F26" w14:textId="77777777" w:rsidR="003B4AB8" w:rsidRDefault="00E81EAD" w:rsidP="003B4AB8">
            <w:pPr>
              <w:pStyle w:val="TableCell"/>
              <w:ind w:firstLine="0"/>
            </w:pPr>
            <w:r>
              <w:t>51.04</w:t>
            </w:r>
          </w:p>
          <w:p w14:paraId="0CECF053" w14:textId="670C9B57" w:rsidR="00E81EAD" w:rsidRDefault="00E81EAD" w:rsidP="003B4AB8">
            <w:pPr>
              <w:pStyle w:val="TableCell"/>
              <w:ind w:firstLine="0"/>
            </w:pPr>
            <w:r>
              <w:t>50.40</w:t>
            </w:r>
          </w:p>
        </w:tc>
        <w:tc>
          <w:tcPr>
            <w:tcW w:w="828" w:type="dxa"/>
            <w:tcBorders>
              <w:bottom w:val="single" w:sz="4" w:space="0" w:color="auto"/>
            </w:tcBorders>
          </w:tcPr>
          <w:p w14:paraId="278993A4" w14:textId="77777777" w:rsidR="003B4AB8" w:rsidRDefault="00E81EAD" w:rsidP="003B4AB8">
            <w:pPr>
              <w:pStyle w:val="TableCell"/>
              <w:ind w:firstLine="0"/>
            </w:pPr>
            <w:r>
              <w:t>50.59</w:t>
            </w:r>
          </w:p>
          <w:p w14:paraId="317C2929" w14:textId="1EC248AE" w:rsidR="00E81EAD" w:rsidRDefault="00E81EAD" w:rsidP="003B4AB8">
            <w:pPr>
              <w:pStyle w:val="TableCell"/>
              <w:ind w:firstLine="0"/>
            </w:pPr>
            <w:r>
              <w:t>48.84</w:t>
            </w:r>
          </w:p>
        </w:tc>
        <w:tc>
          <w:tcPr>
            <w:tcW w:w="828" w:type="dxa"/>
            <w:tcBorders>
              <w:bottom w:val="single" w:sz="4" w:space="0" w:color="auto"/>
            </w:tcBorders>
          </w:tcPr>
          <w:p w14:paraId="0778B613" w14:textId="77777777" w:rsidR="003B4AB8" w:rsidRDefault="00E81EAD" w:rsidP="003B4AB8">
            <w:pPr>
              <w:pStyle w:val="TableCell"/>
              <w:ind w:firstLine="0"/>
            </w:pPr>
            <w:r>
              <w:t>51.92</w:t>
            </w:r>
          </w:p>
          <w:p w14:paraId="3C464105" w14:textId="3C11A8B6" w:rsidR="00E81EAD" w:rsidRDefault="00E81EAD" w:rsidP="003B4AB8">
            <w:pPr>
              <w:pStyle w:val="TableCell"/>
              <w:ind w:firstLine="0"/>
            </w:pPr>
            <w:r>
              <w:t>52.28</w:t>
            </w:r>
          </w:p>
        </w:tc>
      </w:tr>
    </w:tbl>
    <w:p w14:paraId="0B903CAA" w14:textId="77777777" w:rsidR="00F67741" w:rsidRDefault="00F67741" w:rsidP="00F67741">
      <w:pPr>
        <w:pStyle w:val="Head2"/>
        <w:tabs>
          <w:tab w:val="clear" w:pos="360"/>
        </w:tabs>
      </w:pPr>
      <w:r>
        <w:t>Evaluation</w:t>
      </w:r>
    </w:p>
    <w:p w14:paraId="6324C8DD" w14:textId="2061B523" w:rsidR="00F67741" w:rsidRDefault="00F67741" w:rsidP="00F67741">
      <w:pPr>
        <w:pStyle w:val="Para"/>
        <w:rPr>
          <w:lang w:eastAsia="en-US"/>
        </w:rPr>
      </w:pPr>
      <w:r>
        <w:rPr>
          <w:lang w:eastAsia="en-US"/>
        </w:rPr>
        <w:t xml:space="preserve">After performing the test </w:t>
      </w:r>
      <w:r w:rsidR="00A11415">
        <w:rPr>
          <w:lang w:eastAsia="en-US"/>
        </w:rPr>
        <w:t>statistics</w:t>
      </w:r>
      <w:r>
        <w:rPr>
          <w:lang w:eastAsia="en-US"/>
        </w:rPr>
        <w:t>, it is now possible to enlist for each parameter-set, whether our results were significantly different from the results of the paper or not.</w:t>
      </w:r>
      <w:r w:rsidR="00A11415">
        <w:rPr>
          <w:lang w:eastAsia="en-US"/>
        </w:rPr>
        <w:t xml:space="preserve"> This can be viewed in Table 3.</w:t>
      </w:r>
    </w:p>
    <w:p w14:paraId="5FBE31B9" w14:textId="77777777" w:rsidR="00A11415" w:rsidRDefault="00A11415" w:rsidP="00A11415">
      <w:pPr>
        <w:pStyle w:val="ParaContinue"/>
        <w:rPr>
          <w:lang w:eastAsia="en-US"/>
        </w:rPr>
      </w:pPr>
    </w:p>
    <w:p w14:paraId="7CD2669C" w14:textId="57D19483" w:rsidR="0000653F" w:rsidRDefault="00C561A2" w:rsidP="0000653F">
      <w:pPr>
        <w:pStyle w:val="TableCaption"/>
      </w:pPr>
      <w:r>
        <w:t xml:space="preserve">Table </w:t>
      </w:r>
      <w:fldSimple w:instr=" SEQ Table \* ARABIC ">
        <w:r>
          <w:t>3</w:t>
        </w:r>
      </w:fldSimple>
      <w:r>
        <w:t>: This table shows whether out results differed significantly from the ones from the paper</w:t>
      </w:r>
      <w:r w:rsidR="0000653F">
        <w:t xml:space="preserve"> (S means that our value was significantly smaller, whereas B denotes, that our result was significantly better</w:t>
      </w:r>
      <w:r w:rsidR="005A5065">
        <w:t xml:space="preserve"> compared to the values from the paper</w:t>
      </w:r>
      <w:r w:rsidR="0000653F">
        <w:t>)</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A11415" w:rsidRPr="00772D8F" w14:paraId="2CB4416B" w14:textId="77777777" w:rsidTr="004D5E67">
        <w:trPr>
          <w:tblHeader/>
        </w:trPr>
        <w:tc>
          <w:tcPr>
            <w:tcW w:w="875" w:type="dxa"/>
            <w:tcBorders>
              <w:top w:val="single" w:sz="4" w:space="0" w:color="auto"/>
              <w:bottom w:val="single" w:sz="4" w:space="0" w:color="auto"/>
            </w:tcBorders>
          </w:tcPr>
          <w:p w14:paraId="01F2684D" w14:textId="77777777" w:rsidR="00A11415" w:rsidRPr="003B4AB8" w:rsidRDefault="00A11415"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4B9804D9"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21FEDF7D"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49D0830B"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5F402585"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3AEC4811"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15958B7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25144586"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15BBF1BC"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66357AC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A11415" w:rsidRPr="00772D8F" w14:paraId="5111192C" w14:textId="77777777" w:rsidTr="00932663">
        <w:tc>
          <w:tcPr>
            <w:tcW w:w="875" w:type="dxa"/>
            <w:tcBorders>
              <w:top w:val="single" w:sz="4" w:space="0" w:color="auto"/>
            </w:tcBorders>
          </w:tcPr>
          <w:p w14:paraId="1A3E7BE4" w14:textId="77777777" w:rsidR="00A11415" w:rsidRPr="00772D8F" w:rsidRDefault="00A11415" w:rsidP="00A11415">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6A23A162" w14:textId="77777777" w:rsidR="00A11415" w:rsidRDefault="00A11415" w:rsidP="00A11415">
            <w:pPr>
              <w:pStyle w:val="TableCell"/>
              <w:ind w:firstLine="0"/>
            </w:pPr>
            <w:r>
              <w:t>Deezer</w:t>
            </w:r>
          </w:p>
          <w:p w14:paraId="73F31858" w14:textId="77777777" w:rsidR="00A11415" w:rsidRPr="00772D8F" w:rsidRDefault="00A11415" w:rsidP="00A11415">
            <w:pPr>
              <w:pStyle w:val="TableCell"/>
              <w:ind w:firstLine="0"/>
            </w:pPr>
            <w:r>
              <w:t>iTunes</w:t>
            </w:r>
          </w:p>
        </w:tc>
        <w:tc>
          <w:tcPr>
            <w:tcW w:w="953" w:type="dxa"/>
            <w:tcBorders>
              <w:top w:val="single" w:sz="4" w:space="0" w:color="auto"/>
            </w:tcBorders>
            <w:vAlign w:val="center"/>
          </w:tcPr>
          <w:p w14:paraId="4030229A" w14:textId="7CF96BDD" w:rsidR="00A11415" w:rsidRDefault="00BA49F6" w:rsidP="00A11415">
            <w:pPr>
              <w:pStyle w:val="TableCell"/>
              <w:ind w:firstLine="0"/>
              <w:rPr>
                <w:rFonts w:eastAsia="Times New Roman"/>
                <w:color w:val="000000" w:themeColor="text1"/>
                <w:sz w:val="14"/>
                <w:szCs w:val="14"/>
                <w:lang w:eastAsia="en-GB"/>
              </w:rPr>
            </w:pPr>
            <w:r>
              <w:rPr>
                <w:rFonts w:eastAsia="Times New Roman"/>
                <w:color w:val="000000" w:themeColor="text1"/>
                <w:sz w:val="14"/>
                <w:szCs w:val="14"/>
                <w:lang w:eastAsia="en-GB"/>
              </w:rPr>
              <w:t>True</w:t>
            </w:r>
          </w:p>
          <w:p w14:paraId="4271E48A" w14:textId="285F4EE7"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929" w:type="dxa"/>
            <w:tcBorders>
              <w:top w:val="single" w:sz="4" w:space="0" w:color="auto"/>
            </w:tcBorders>
            <w:vAlign w:val="center"/>
          </w:tcPr>
          <w:p w14:paraId="6DE81EA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E638308" w14:textId="7CED3339" w:rsidR="00A11415" w:rsidRDefault="00A11415" w:rsidP="00A11415">
            <w:pPr>
              <w:pStyle w:val="TableCell"/>
              <w:ind w:firstLine="0"/>
            </w:pPr>
            <w:r>
              <w:rPr>
                <w:rFonts w:eastAsia="Times New Roman"/>
                <w:color w:val="000000" w:themeColor="text1"/>
                <w:sz w:val="14"/>
                <w:szCs w:val="14"/>
                <w:lang w:eastAsia="en-GB"/>
              </w:rPr>
              <w:t>False</w:t>
            </w:r>
          </w:p>
        </w:tc>
        <w:tc>
          <w:tcPr>
            <w:tcW w:w="958" w:type="dxa"/>
            <w:tcBorders>
              <w:top w:val="single" w:sz="4" w:space="0" w:color="auto"/>
            </w:tcBorders>
            <w:vAlign w:val="center"/>
          </w:tcPr>
          <w:p w14:paraId="7041E324" w14:textId="50AAE5AB"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477FB591" w14:textId="2AB3D743" w:rsidR="00A11415" w:rsidRDefault="00A11415" w:rsidP="00A11415">
            <w:pPr>
              <w:pStyle w:val="TableCell"/>
              <w:ind w:firstLine="0"/>
            </w:pPr>
            <w:r>
              <w:rPr>
                <w:rFonts w:eastAsia="Times New Roman"/>
                <w:color w:val="000000" w:themeColor="text1"/>
                <w:sz w:val="14"/>
                <w:szCs w:val="14"/>
                <w:lang w:eastAsia="en-GB"/>
              </w:rPr>
              <w:t>False</w:t>
            </w:r>
          </w:p>
        </w:tc>
        <w:tc>
          <w:tcPr>
            <w:tcW w:w="992" w:type="dxa"/>
            <w:tcBorders>
              <w:top w:val="single" w:sz="4" w:space="0" w:color="auto"/>
            </w:tcBorders>
            <w:vAlign w:val="center"/>
          </w:tcPr>
          <w:p w14:paraId="05A69A4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97354" w14:textId="637A2D80"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7FCDD23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D33073" w14:textId="1C495571"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tc>
        <w:tc>
          <w:tcPr>
            <w:tcW w:w="828" w:type="dxa"/>
            <w:tcBorders>
              <w:top w:val="single" w:sz="4" w:space="0" w:color="auto"/>
            </w:tcBorders>
            <w:vAlign w:val="center"/>
          </w:tcPr>
          <w:p w14:paraId="03FE283E"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A652515" w14:textId="485A7D0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2FAC89E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9F4C8CB" w14:textId="0933CE9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0605CA6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5A3787" w14:textId="273203B8" w:rsidR="00A11415" w:rsidRDefault="00A11415" w:rsidP="00A11415">
            <w:pPr>
              <w:pStyle w:val="TableCell"/>
              <w:ind w:firstLine="0"/>
            </w:pPr>
            <w:r>
              <w:rPr>
                <w:rFonts w:eastAsia="Times New Roman"/>
                <w:color w:val="000000" w:themeColor="text1"/>
                <w:sz w:val="14"/>
                <w:szCs w:val="14"/>
                <w:lang w:eastAsia="en-GB"/>
              </w:rPr>
              <w:t>False</w:t>
            </w:r>
          </w:p>
        </w:tc>
      </w:tr>
      <w:tr w:rsidR="00A11415" w:rsidRPr="00772D8F" w14:paraId="67E2902C" w14:textId="77777777" w:rsidTr="00EC6FFC">
        <w:tc>
          <w:tcPr>
            <w:tcW w:w="875" w:type="dxa"/>
          </w:tcPr>
          <w:p w14:paraId="17FF92BD" w14:textId="77777777" w:rsidR="00A11415" w:rsidRPr="00772D8F" w:rsidRDefault="00A11415" w:rsidP="00A11415">
            <w:pPr>
              <w:pStyle w:val="TableCell"/>
            </w:pPr>
            <w:r>
              <w:t>50</w:t>
            </w:r>
          </w:p>
        </w:tc>
        <w:tc>
          <w:tcPr>
            <w:tcW w:w="741" w:type="dxa"/>
          </w:tcPr>
          <w:p w14:paraId="42AD29C3" w14:textId="77777777" w:rsidR="00A11415" w:rsidRDefault="00A11415" w:rsidP="00A11415">
            <w:pPr>
              <w:pStyle w:val="TableCell"/>
              <w:ind w:firstLine="0"/>
            </w:pPr>
            <w:r>
              <w:t>Deezer</w:t>
            </w:r>
          </w:p>
          <w:p w14:paraId="0827F429" w14:textId="77777777" w:rsidR="00A11415" w:rsidRPr="00772D8F" w:rsidRDefault="00A11415" w:rsidP="00A11415">
            <w:pPr>
              <w:pStyle w:val="TableCell"/>
              <w:ind w:firstLine="0"/>
            </w:pPr>
            <w:r>
              <w:t>iTunes</w:t>
            </w:r>
          </w:p>
        </w:tc>
        <w:tc>
          <w:tcPr>
            <w:tcW w:w="953" w:type="dxa"/>
            <w:vAlign w:val="center"/>
          </w:tcPr>
          <w:p w14:paraId="137A1DA7" w14:textId="21180319" w:rsidR="00BA49F6" w:rsidRPr="0000653F" w:rsidRDefault="00BA49F6" w:rsidP="00BA49F6">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30F609A2" w14:textId="262CE1E1" w:rsidR="00A11415" w:rsidRPr="0000653F" w:rsidRDefault="00A11415"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29" w:type="dxa"/>
            <w:vAlign w:val="center"/>
          </w:tcPr>
          <w:p w14:paraId="42ED2AD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2DABB27" w14:textId="1F90C82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vAlign w:val="center"/>
          </w:tcPr>
          <w:p w14:paraId="75954E5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426F163" w14:textId="7BEAB112"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71D8E5D2"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4AE2C" w14:textId="28F5B0D6"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0CE630D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A240DC2" w14:textId="75EC48FF"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F5FE0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E562BB7" w14:textId="511E71F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1E8901FC" w14:textId="4BA07BB3"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4B0EC3DF" w14:textId="091DF28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30AE92" w14:textId="09A9F389" w:rsidR="00BA49F6"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2D9929BA" w14:textId="30399C5F"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58A3C558" w14:textId="77777777" w:rsidTr="00353AFF">
        <w:tc>
          <w:tcPr>
            <w:tcW w:w="875" w:type="dxa"/>
          </w:tcPr>
          <w:p w14:paraId="79C1CC63" w14:textId="77777777" w:rsidR="00A11415" w:rsidRPr="00772D8F" w:rsidRDefault="00A11415" w:rsidP="00A11415">
            <w:pPr>
              <w:pStyle w:val="TableCell"/>
            </w:pPr>
            <w:r>
              <w:t>100</w:t>
            </w:r>
          </w:p>
        </w:tc>
        <w:tc>
          <w:tcPr>
            <w:tcW w:w="741" w:type="dxa"/>
          </w:tcPr>
          <w:p w14:paraId="1ACADB18" w14:textId="77777777" w:rsidR="00A11415" w:rsidRDefault="00A11415" w:rsidP="00A11415">
            <w:pPr>
              <w:pStyle w:val="TableCell"/>
              <w:ind w:firstLine="0"/>
            </w:pPr>
            <w:r>
              <w:t>Deezer</w:t>
            </w:r>
          </w:p>
          <w:p w14:paraId="7343D533" w14:textId="77777777" w:rsidR="00A11415" w:rsidRPr="00772D8F" w:rsidRDefault="00A11415" w:rsidP="00A11415">
            <w:pPr>
              <w:pStyle w:val="TableCell"/>
              <w:ind w:firstLine="0"/>
            </w:pPr>
            <w:r>
              <w:t>iTunes</w:t>
            </w:r>
          </w:p>
        </w:tc>
        <w:tc>
          <w:tcPr>
            <w:tcW w:w="953" w:type="dxa"/>
            <w:vAlign w:val="center"/>
          </w:tcPr>
          <w:p w14:paraId="72A017F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D3C7A06" w14:textId="02C58614"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929" w:type="dxa"/>
            <w:vAlign w:val="center"/>
          </w:tcPr>
          <w:p w14:paraId="11ED7CD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174E6EF" w14:textId="12F5A7DD" w:rsidR="00A11415" w:rsidRPr="0000653F" w:rsidRDefault="00A11415"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58" w:type="dxa"/>
            <w:vAlign w:val="center"/>
          </w:tcPr>
          <w:p w14:paraId="4955FD9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BD8864B" w14:textId="02EDDD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0827CFCD" w14:textId="5E786846"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572CBA0B" w14:textId="7A5B96C7"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FD1BF4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4A72ED" w14:textId="1CA42C63"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318EA457"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1083302" w14:textId="48436E1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9477CB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0AF4268" w14:textId="2687C887"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09E6F8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53CCD7C" w14:textId="6929396D"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0279B518" w14:textId="77777777" w:rsidTr="00622387">
        <w:tc>
          <w:tcPr>
            <w:tcW w:w="875" w:type="dxa"/>
            <w:tcBorders>
              <w:bottom w:val="single" w:sz="4" w:space="0" w:color="auto"/>
            </w:tcBorders>
          </w:tcPr>
          <w:p w14:paraId="1DD69CC2" w14:textId="77777777" w:rsidR="00A11415" w:rsidRPr="001B633D" w:rsidRDefault="00A11415" w:rsidP="00A11415">
            <w:pPr>
              <w:pStyle w:val="TableCell"/>
            </w:pPr>
            <w:r>
              <w:t>200</w:t>
            </w:r>
          </w:p>
        </w:tc>
        <w:tc>
          <w:tcPr>
            <w:tcW w:w="741" w:type="dxa"/>
            <w:tcBorders>
              <w:bottom w:val="single" w:sz="4" w:space="0" w:color="auto"/>
            </w:tcBorders>
          </w:tcPr>
          <w:p w14:paraId="4D488582" w14:textId="77777777" w:rsidR="00A11415" w:rsidRDefault="00A11415" w:rsidP="00A11415">
            <w:pPr>
              <w:pStyle w:val="TableCell"/>
              <w:ind w:firstLine="0"/>
            </w:pPr>
            <w:r>
              <w:t>Deezer</w:t>
            </w:r>
          </w:p>
          <w:p w14:paraId="7236AD8E" w14:textId="77777777" w:rsidR="00A11415" w:rsidRPr="001B633D" w:rsidRDefault="00A11415" w:rsidP="00A11415">
            <w:pPr>
              <w:pStyle w:val="TableCell"/>
              <w:ind w:firstLine="0"/>
            </w:pPr>
            <w:r>
              <w:t>iTunes</w:t>
            </w:r>
          </w:p>
        </w:tc>
        <w:tc>
          <w:tcPr>
            <w:tcW w:w="953" w:type="dxa"/>
            <w:tcBorders>
              <w:bottom w:val="single" w:sz="4" w:space="0" w:color="auto"/>
            </w:tcBorders>
            <w:vAlign w:val="center"/>
          </w:tcPr>
          <w:p w14:paraId="11DC396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A87DA70" w14:textId="1F685375"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29" w:type="dxa"/>
            <w:tcBorders>
              <w:bottom w:val="single" w:sz="4" w:space="0" w:color="auto"/>
            </w:tcBorders>
            <w:vAlign w:val="center"/>
          </w:tcPr>
          <w:p w14:paraId="73826400"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1C3AE42" w14:textId="6C43524A"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tcBorders>
              <w:bottom w:val="single" w:sz="4" w:space="0" w:color="auto"/>
            </w:tcBorders>
            <w:vAlign w:val="center"/>
          </w:tcPr>
          <w:p w14:paraId="36DD31E1" w14:textId="77666723"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2E48CE17" w14:textId="54CEADBF"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92" w:type="dxa"/>
            <w:tcBorders>
              <w:bottom w:val="single" w:sz="4" w:space="0" w:color="auto"/>
            </w:tcBorders>
            <w:vAlign w:val="center"/>
          </w:tcPr>
          <w:p w14:paraId="0CF8ED0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3E3D136" w14:textId="44AAD30E" w:rsidR="00A11415" w:rsidRPr="00AD6C5E"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01F5639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901B05" w14:textId="3DFB39C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52ECFE2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31D4F7F" w14:textId="68DF970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62D5169D" w14:textId="09E417DC"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2937F8E9" w14:textId="23D175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2DFC70D5"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8B27D32" w14:textId="48817525" w:rsidR="00A11415" w:rsidRDefault="00A11415" w:rsidP="00A11415">
            <w:pPr>
              <w:pStyle w:val="TableCell"/>
              <w:ind w:firstLine="0"/>
            </w:pPr>
            <w:r w:rsidRPr="00C93834">
              <w:rPr>
                <w:rFonts w:eastAsia="Times New Roman"/>
                <w:color w:val="000000" w:themeColor="text1"/>
                <w:sz w:val="14"/>
                <w:szCs w:val="14"/>
                <w:lang w:eastAsia="en-GB"/>
              </w:rPr>
              <w:t>False</w:t>
            </w:r>
          </w:p>
        </w:tc>
      </w:tr>
    </w:tbl>
    <w:p w14:paraId="290D6542" w14:textId="77777777" w:rsidR="00A11415" w:rsidRPr="00A11415" w:rsidRDefault="00A11415" w:rsidP="00A11415">
      <w:pPr>
        <w:pStyle w:val="ParaContinue"/>
        <w:rPr>
          <w:lang w:eastAsia="en-US"/>
        </w:rPr>
      </w:pPr>
    </w:p>
    <w:p w14:paraId="0545FB7D" w14:textId="77777777" w:rsidR="00F67741" w:rsidRPr="00F67741" w:rsidRDefault="00F67741" w:rsidP="00F67741">
      <w:pPr>
        <w:pStyle w:val="ParaContinue"/>
        <w:rPr>
          <w:lang w:eastAsia="en-US"/>
        </w:rPr>
      </w:pPr>
    </w:p>
    <w:p w14:paraId="2F09300C" w14:textId="0F86048C" w:rsidR="00C93834" w:rsidRPr="00531D17" w:rsidRDefault="00A11415" w:rsidP="00C93834">
      <w:pPr>
        <w:pStyle w:val="Para"/>
        <w:ind w:firstLine="0"/>
        <w:rPr>
          <w:b/>
          <w:bCs/>
          <w:sz w:val="22"/>
          <w:szCs w:val="22"/>
          <w:lang w:eastAsia="en-US"/>
        </w:rPr>
      </w:pPr>
      <w:r w:rsidRPr="00531D17">
        <w:rPr>
          <w:b/>
          <w:bCs/>
          <w:sz w:val="22"/>
          <w:szCs w:val="22"/>
          <w:lang w:eastAsia="en-US"/>
        </w:rPr>
        <w:t>WRITE SOME THINGS ABOUT THE BOOLEAN TABLES; BUT ALSO AOUT THE ABSOLUTE VALUES</w:t>
      </w:r>
    </w:p>
    <w:p w14:paraId="370EF5A2" w14:textId="033CF910" w:rsidR="00E76F47" w:rsidRDefault="00E76F47" w:rsidP="00E76F47">
      <w:pPr>
        <w:pStyle w:val="Head1"/>
        <w:tabs>
          <w:tab w:val="clear" w:pos="360"/>
        </w:tabs>
        <w:ind w:left="432" w:hanging="432"/>
      </w:pPr>
      <w:r>
        <w:t>Challenges and limitations</w:t>
      </w:r>
    </w:p>
    <w:p w14:paraId="3D84CC79" w14:textId="7871C16E" w:rsidR="00E76F47" w:rsidRDefault="00E76F47" w:rsidP="00E76F47">
      <w:pPr>
        <w:pStyle w:val="Para"/>
        <w:ind w:firstLine="0"/>
        <w:rPr>
          <w:lang w:eastAsia="en-US"/>
        </w:rPr>
      </w:pPr>
      <w:r w:rsidRPr="00E76F47">
        <w:rPr>
          <w:lang w:eastAsia="en-US"/>
        </w:rPr>
        <w:t xml:space="preserve">The reproduction process had some challenges and limitations. The main issue we faced was data accessibility, as the Spotify dataset isn’t available anymore, so the analysis was limited to Deezer and iTunes. The code had a few problems, such as outdated functions, missing dependencies like Gensim,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w:t>
      </w:r>
      <w:r w:rsidRPr="00E76F47">
        <w:rPr>
          <w:lang w:eastAsia="en-US"/>
        </w:rPr>
        <w:lastRenderedPageBreak/>
        <w:t>preprocessing steps, minimal discussion of hyperparameter selection, and the evaluation was focused mainly on the CV metric, without scripts for a more thorough evaluation.</w:t>
      </w:r>
    </w:p>
    <w:p w14:paraId="06004565" w14:textId="451FE870" w:rsidR="00E76F47" w:rsidRDefault="00E76F47" w:rsidP="00E76F47">
      <w:pPr>
        <w:pStyle w:val="Head1"/>
        <w:tabs>
          <w:tab w:val="clear" w:pos="360"/>
        </w:tabs>
        <w:ind w:left="432" w:hanging="432"/>
      </w:pPr>
      <w:r>
        <w:t>COnclusion</w:t>
      </w:r>
    </w:p>
    <w:p w14:paraId="20FCA222" w14:textId="05570BCE" w:rsidR="00E76F47" w:rsidRPr="00E76F47" w:rsidRDefault="00E76F47" w:rsidP="00E76F47">
      <w:pPr>
        <w:pStyle w:val="ParaContinue"/>
        <w:ind w:firstLine="0"/>
        <w:rPr>
          <w:lang w:eastAsia="en-US"/>
        </w:rPr>
      </w:pPr>
      <w:r w:rsidRPr="00E76F47">
        <w:rPr>
          <w:lang w:eastAsia="en-US"/>
        </w:rPr>
        <w:t>Reproducing the paper highlighted NEiCE's potential to improve topic coherence in short-text metadata while exposing critical challenges in reproducibility. Despite code and data limitations, our results aligned closely with the original study's trends, validating NEiCE’s effectiveness.</w:t>
      </w:r>
    </w:p>
    <w:p w14:paraId="442FEF2C" w14:textId="77777777" w:rsidR="005B434B" w:rsidRDefault="005B434B" w:rsidP="005B434B">
      <w:pPr>
        <w:pStyle w:val="ReferenceHead"/>
      </w:pPr>
      <w:r>
        <w:t>REFERENCES</w:t>
      </w:r>
    </w:p>
    <w:p w14:paraId="5C892631" w14:textId="77777777" w:rsidR="00E76F47" w:rsidRPr="00577BDE" w:rsidRDefault="00E76F47" w:rsidP="00E76F47">
      <w:pPr>
        <w:pStyle w:val="Bibentry"/>
      </w:pPr>
      <w:r w:rsidRPr="00A171BF">
        <w:t>Francisco B. Valero, Marion Baranes, and Elena V. Epure. 2022. Topic Modeling on Podcast Short-Text Metadata. In Advances in Information Retrieval, Matthias Hagen, Suzan Verberne, Craig Macdonald, Christin Seifert, Krisztian Balog, Kjetil Nørvåg, and Vinay Setty (Eds.).</w:t>
      </w:r>
    </w:p>
    <w:p w14:paraId="77A0A73A" w14:textId="03D12EF0" w:rsidR="005B434B" w:rsidRPr="00B1638F" w:rsidRDefault="005B434B" w:rsidP="005B434B">
      <w:pPr>
        <w:pStyle w:val="Para"/>
      </w:pPr>
      <w:bookmarkStart w:id="0" w:name="sbmn"/>
      <w:bookmarkEnd w:id="0"/>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8D1F" w14:textId="77777777" w:rsidR="0073694E" w:rsidRDefault="0073694E" w:rsidP="005B434B">
      <w:pPr>
        <w:spacing w:after="0" w:line="240" w:lineRule="auto"/>
      </w:pPr>
      <w:r>
        <w:separator/>
      </w:r>
    </w:p>
  </w:endnote>
  <w:endnote w:type="continuationSeparator" w:id="0">
    <w:p w14:paraId="3705C93A" w14:textId="77777777" w:rsidR="0073694E" w:rsidRDefault="0073694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CE45" w14:textId="77777777" w:rsidR="00C13922" w:rsidRDefault="00737F1F" w:rsidP="00894B43">
    <w:pPr>
      <w:pStyle w:val="Fuzeile"/>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CB40" w14:textId="77777777" w:rsidR="00C13922" w:rsidRDefault="00C13922">
    <w:pPr>
      <w:pStyle w:val="Fuzeile"/>
    </w:pPr>
  </w:p>
  <w:p w14:paraId="654B4238" w14:textId="77777777" w:rsidR="00C13922" w:rsidRDefault="00C13922">
    <w:pPr>
      <w:pStyle w:val="Fuzeile"/>
    </w:pPr>
  </w:p>
  <w:p w14:paraId="133854CF" w14:textId="77777777" w:rsidR="00C13922" w:rsidRDefault="00C13922">
    <w:pPr>
      <w:pStyle w:val="Fuzeile"/>
    </w:pPr>
  </w:p>
  <w:p w14:paraId="731A4357" w14:textId="77777777" w:rsidR="00C13922" w:rsidRDefault="00C13922">
    <w:pPr>
      <w:pStyle w:val="Fuzeile"/>
    </w:pPr>
  </w:p>
  <w:p w14:paraId="51965F02" w14:textId="77777777" w:rsidR="00C13922" w:rsidRDefault="00C13922">
    <w:pPr>
      <w:pStyle w:val="Fuzeile"/>
    </w:pPr>
  </w:p>
  <w:p w14:paraId="10C7BA0E" w14:textId="77777777" w:rsidR="00C13922" w:rsidRDefault="00C13922">
    <w:pPr>
      <w:pStyle w:val="Fuzeile"/>
    </w:pPr>
  </w:p>
  <w:p w14:paraId="593954E5" w14:textId="77777777" w:rsidR="00C13922" w:rsidRDefault="00C13922">
    <w:pPr>
      <w:pStyle w:val="Fuzeile"/>
    </w:pPr>
  </w:p>
  <w:p w14:paraId="077ABCAC" w14:textId="77777777" w:rsidR="00C13922" w:rsidRDefault="00C13922">
    <w:pPr>
      <w:pStyle w:val="Fuzeile"/>
    </w:pPr>
  </w:p>
  <w:p w14:paraId="0AA4C00B" w14:textId="77777777" w:rsidR="00C13922" w:rsidRDefault="00C13922">
    <w:pPr>
      <w:pStyle w:val="Fuzeile"/>
    </w:pPr>
  </w:p>
  <w:p w14:paraId="6D682A41" w14:textId="77777777" w:rsidR="00C13922" w:rsidRDefault="00C13922">
    <w:pPr>
      <w:pStyle w:val="Fuzeile"/>
    </w:pPr>
  </w:p>
  <w:p w14:paraId="5029EBA9" w14:textId="77777777" w:rsidR="00C13922" w:rsidRDefault="00C13922">
    <w:pPr>
      <w:pStyle w:val="Fuzeile"/>
    </w:pPr>
  </w:p>
  <w:p w14:paraId="73428989" w14:textId="77777777" w:rsidR="00C13922" w:rsidRDefault="00C13922">
    <w:pPr>
      <w:pStyle w:val="Fuzeile"/>
    </w:pPr>
  </w:p>
  <w:p w14:paraId="5AA33020" w14:textId="77777777" w:rsidR="00C13922" w:rsidRDefault="00C13922">
    <w:pPr>
      <w:pStyle w:val="Fuzeile"/>
    </w:pPr>
  </w:p>
  <w:p w14:paraId="417A1012" w14:textId="77777777" w:rsidR="00C13922" w:rsidRDefault="00C13922">
    <w:pPr>
      <w:pStyle w:val="Fuzeile"/>
    </w:pPr>
  </w:p>
  <w:p w14:paraId="02C75138" w14:textId="77777777" w:rsidR="00C13922" w:rsidRDefault="00C13922">
    <w:pPr>
      <w:pStyle w:val="Fuzeile"/>
    </w:pPr>
  </w:p>
  <w:p w14:paraId="33837A2E" w14:textId="77777777" w:rsidR="00C13922" w:rsidRDefault="00C13922">
    <w:pPr>
      <w:pStyle w:val="Fuzeile"/>
    </w:pPr>
  </w:p>
  <w:p w14:paraId="55F31054" w14:textId="77777777" w:rsidR="00C13922" w:rsidRDefault="00C139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C3779" w14:textId="77777777" w:rsidR="0073694E" w:rsidRDefault="0073694E" w:rsidP="005B434B">
      <w:pPr>
        <w:spacing w:after="0" w:line="240" w:lineRule="auto"/>
      </w:pPr>
      <w:r>
        <w:separator/>
      </w:r>
    </w:p>
  </w:footnote>
  <w:footnote w:type="continuationSeparator" w:id="0">
    <w:p w14:paraId="5631C0B0" w14:textId="77777777" w:rsidR="0073694E" w:rsidRDefault="0073694E"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609754">
    <w:abstractNumId w:val="0"/>
  </w:num>
  <w:num w:numId="2" w16cid:durableId="667945730">
    <w:abstractNumId w:val="13"/>
  </w:num>
  <w:num w:numId="3" w16cid:durableId="437916390">
    <w:abstractNumId w:val="9"/>
  </w:num>
  <w:num w:numId="4" w16cid:durableId="93745670">
    <w:abstractNumId w:val="1"/>
  </w:num>
  <w:num w:numId="5" w16cid:durableId="1834418222">
    <w:abstractNumId w:val="3"/>
  </w:num>
  <w:num w:numId="6" w16cid:durableId="1443381149">
    <w:abstractNumId w:val="6"/>
  </w:num>
  <w:num w:numId="7" w16cid:durableId="1572617342">
    <w:abstractNumId w:val="11"/>
  </w:num>
  <w:num w:numId="8" w16cid:durableId="305013104">
    <w:abstractNumId w:val="2"/>
  </w:num>
  <w:num w:numId="9" w16cid:durableId="1453934757">
    <w:abstractNumId w:val="7"/>
  </w:num>
  <w:num w:numId="10" w16cid:durableId="471287116">
    <w:abstractNumId w:val="14"/>
  </w:num>
  <w:num w:numId="11" w16cid:durableId="966740662">
    <w:abstractNumId w:val="5"/>
  </w:num>
  <w:num w:numId="12" w16cid:durableId="5059283">
    <w:abstractNumId w:val="12"/>
  </w:num>
  <w:num w:numId="13" w16cid:durableId="120199058">
    <w:abstractNumId w:val="8"/>
  </w:num>
  <w:num w:numId="14" w16cid:durableId="1985890792">
    <w:abstractNumId w:val="4"/>
  </w:num>
  <w:num w:numId="15" w16cid:durableId="2144039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5FF"/>
    <w:rsid w:val="0000653F"/>
    <w:rsid w:val="000151E2"/>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825F7"/>
    <w:rsid w:val="0029158F"/>
    <w:rsid w:val="00292C1F"/>
    <w:rsid w:val="00296257"/>
    <w:rsid w:val="002C0FF0"/>
    <w:rsid w:val="002C37CC"/>
    <w:rsid w:val="002E204E"/>
    <w:rsid w:val="002E4344"/>
    <w:rsid w:val="002F58C9"/>
    <w:rsid w:val="002F5B40"/>
    <w:rsid w:val="00340671"/>
    <w:rsid w:val="00360267"/>
    <w:rsid w:val="003756D0"/>
    <w:rsid w:val="00381133"/>
    <w:rsid w:val="003A253B"/>
    <w:rsid w:val="003B4AB8"/>
    <w:rsid w:val="003D295C"/>
    <w:rsid w:val="003D30AF"/>
    <w:rsid w:val="00457C1D"/>
    <w:rsid w:val="004923DD"/>
    <w:rsid w:val="004E4708"/>
    <w:rsid w:val="004F7BE1"/>
    <w:rsid w:val="005157A5"/>
    <w:rsid w:val="005209AA"/>
    <w:rsid w:val="00522A2B"/>
    <w:rsid w:val="00531D17"/>
    <w:rsid w:val="005474E8"/>
    <w:rsid w:val="00547F6A"/>
    <w:rsid w:val="005A5065"/>
    <w:rsid w:val="005B434B"/>
    <w:rsid w:val="005C3913"/>
    <w:rsid w:val="00600E0B"/>
    <w:rsid w:val="00674628"/>
    <w:rsid w:val="006B5C30"/>
    <w:rsid w:val="006C7A36"/>
    <w:rsid w:val="00720F9D"/>
    <w:rsid w:val="0073694E"/>
    <w:rsid w:val="00737F1F"/>
    <w:rsid w:val="00786477"/>
    <w:rsid w:val="007A589B"/>
    <w:rsid w:val="007B1437"/>
    <w:rsid w:val="007B36F5"/>
    <w:rsid w:val="007E20EF"/>
    <w:rsid w:val="00811CF4"/>
    <w:rsid w:val="0081437E"/>
    <w:rsid w:val="0082282B"/>
    <w:rsid w:val="00854D22"/>
    <w:rsid w:val="00884E06"/>
    <w:rsid w:val="008D14C0"/>
    <w:rsid w:val="00920182"/>
    <w:rsid w:val="009641B8"/>
    <w:rsid w:val="009B4B71"/>
    <w:rsid w:val="009B76D7"/>
    <w:rsid w:val="009F684F"/>
    <w:rsid w:val="00A11415"/>
    <w:rsid w:val="00A27A9F"/>
    <w:rsid w:val="00A3685D"/>
    <w:rsid w:val="00A55475"/>
    <w:rsid w:val="00A566B0"/>
    <w:rsid w:val="00A6011A"/>
    <w:rsid w:val="00AC0CD0"/>
    <w:rsid w:val="00AD6C5E"/>
    <w:rsid w:val="00AF5390"/>
    <w:rsid w:val="00B40EB1"/>
    <w:rsid w:val="00B6140C"/>
    <w:rsid w:val="00B657BD"/>
    <w:rsid w:val="00BA49F6"/>
    <w:rsid w:val="00BD04E6"/>
    <w:rsid w:val="00C13922"/>
    <w:rsid w:val="00C561A2"/>
    <w:rsid w:val="00C73B71"/>
    <w:rsid w:val="00C7592B"/>
    <w:rsid w:val="00C93834"/>
    <w:rsid w:val="00D06545"/>
    <w:rsid w:val="00D07298"/>
    <w:rsid w:val="00DA1CE2"/>
    <w:rsid w:val="00DD4C3D"/>
    <w:rsid w:val="00DF1C04"/>
    <w:rsid w:val="00E037CD"/>
    <w:rsid w:val="00E208CA"/>
    <w:rsid w:val="00E476D5"/>
    <w:rsid w:val="00E55E8D"/>
    <w:rsid w:val="00E76F47"/>
    <w:rsid w:val="00E81EAD"/>
    <w:rsid w:val="00E8234D"/>
    <w:rsid w:val="00E92194"/>
    <w:rsid w:val="00E92C2E"/>
    <w:rsid w:val="00EC4FFB"/>
    <w:rsid w:val="00EF5BB9"/>
    <w:rsid w:val="00F07897"/>
    <w:rsid w:val="00F40832"/>
    <w:rsid w:val="00F46728"/>
    <w:rsid w:val="00F570F1"/>
    <w:rsid w:val="00F6354E"/>
    <w:rsid w:val="00F67741"/>
    <w:rsid w:val="00F80819"/>
    <w:rsid w:val="00F866A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31D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1415"/>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00E0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00E0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styleId="Beschriftung">
    <w:name w:val="caption"/>
    <w:basedOn w:val="Standard"/>
    <w:next w:val="Standard"/>
    <w:uiPriority w:val="35"/>
    <w:unhideWhenUsed/>
    <w:qFormat/>
    <w:rsid w:val="00C73B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E042-0BB2-496A-AC56-0BE2E5D6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1640</Words>
  <Characters>10337</Characters>
  <Application>Microsoft Office Word</Application>
  <DocSecurity>0</DocSecurity>
  <Lines>86</Lines>
  <Paragraphs>23</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Sharma, Hrithik</cp:lastModifiedBy>
  <cp:revision>55</cp:revision>
  <dcterms:created xsi:type="dcterms:W3CDTF">2020-08-18T11:08:00Z</dcterms:created>
  <dcterms:modified xsi:type="dcterms:W3CDTF">2025-02-01T13:15:00Z</dcterms:modified>
</cp:coreProperties>
</file>