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933E9B" w14:textId="77777777" w:rsidR="00E901E1" w:rsidRDefault="00E901E1" w:rsidP="00E901E1">
      <w:pPr>
        <w:pStyle w:val="BodyText"/>
        <w:contextualSpacing/>
        <w:jc w:val="center"/>
        <w:rPr>
          <w:rStyle w:val="Strong"/>
          <w:rFonts w:eastAsiaTheme="majorEastAsia"/>
        </w:rPr>
      </w:pPr>
      <w:r>
        <w:rPr>
          <w:rStyle w:val="Strong"/>
          <w:rFonts w:eastAsiaTheme="majorEastAsia"/>
        </w:rPr>
        <w:t>STUDY DETAILS</w:t>
      </w:r>
    </w:p>
    <w:tbl>
      <w:tblPr>
        <w:tblStyle w:val="TableGrid"/>
        <w:tblW w:w="0" w:type="auto"/>
        <w:tblLook w:val="04A0" w:firstRow="1" w:lastRow="0" w:firstColumn="1" w:lastColumn="0" w:noHBand="0" w:noVBand="1"/>
      </w:tblPr>
      <w:tblGrid>
        <w:gridCol w:w="1795"/>
        <w:gridCol w:w="7495"/>
      </w:tblGrid>
      <w:tr w:rsidR="00E901E1" w14:paraId="614C9015" w14:textId="77777777" w:rsidTr="005215D4">
        <w:trPr>
          <w:cnfStyle w:val="100000000000" w:firstRow="1" w:lastRow="0" w:firstColumn="0" w:lastColumn="0" w:oddVBand="0" w:evenVBand="0" w:oddHBand="0" w:evenHBand="0" w:firstRowFirstColumn="0" w:firstRowLastColumn="0" w:lastRowFirstColumn="0" w:lastRowLastColumn="0"/>
        </w:trPr>
        <w:tc>
          <w:tcPr>
            <w:tcW w:w="1795" w:type="dxa"/>
          </w:tcPr>
          <w:p w14:paraId="4AD59BF2" w14:textId="77777777" w:rsidR="00E901E1" w:rsidRDefault="00E901E1" w:rsidP="005215D4">
            <w:pPr>
              <w:pStyle w:val="TableLeft"/>
              <w:contextualSpacing/>
              <w:rPr>
                <w:rStyle w:val="Strong"/>
                <w:rFonts w:eastAsiaTheme="majorEastAsia"/>
              </w:rPr>
            </w:pPr>
            <w:r>
              <w:rPr>
                <w:rStyle w:val="Strong"/>
                <w:rFonts w:eastAsiaTheme="majorEastAsia"/>
              </w:rPr>
              <w:t>Study Title:</w:t>
            </w:r>
          </w:p>
        </w:tc>
        <w:tc>
          <w:tcPr>
            <w:tcW w:w="7495" w:type="dxa"/>
            <w:vAlign w:val="center"/>
          </w:tcPr>
          <w:p w14:paraId="7FCC725E" w14:textId="77777777" w:rsidR="00E901E1" w:rsidRPr="00D752BC" w:rsidRDefault="00E901E1" w:rsidP="005215D4">
            <w:pPr>
              <w:pStyle w:val="BodyText"/>
              <w:spacing w:before="60" w:after="60" w:line="240" w:lineRule="auto"/>
              <w:contextualSpacing/>
              <w:rPr>
                <w:rStyle w:val="Strong"/>
                <w:rFonts w:eastAsiaTheme="majorEastAsia"/>
                <w:b w:val="0"/>
              </w:rPr>
            </w:pPr>
            <w:r>
              <w:t>A Phase 3, Multicenter, Randomized, Open-label, Active-controlled Study to Evaluate the Efficacy and Safety of First-line antibody-drug conjugate Induction Therapy Followed by CDK4/6i in Combination with Endocrine Therapy Versus Standard of Care (SoC) CDK4/6i in Combination with Endocrine Therapy in Subjects with High-risk Clinicopathological Characteristics, Hormone Receptor-positive, HER2-low (IHC&gt;0&lt;1+, IHC+, or IHC2+/ISH-negative) and Who Have not Received Prior Therapy for Locally Advanced/Metastatic Disease</w:t>
            </w:r>
          </w:p>
        </w:tc>
      </w:tr>
      <w:tr w:rsidR="00E901E1" w14:paraId="260041D5" w14:textId="77777777" w:rsidTr="00E901E1">
        <w:trPr>
          <w:trHeight w:val="359"/>
        </w:trPr>
        <w:tc>
          <w:tcPr>
            <w:tcW w:w="1795" w:type="dxa"/>
          </w:tcPr>
          <w:p w14:paraId="51407348" w14:textId="77777777" w:rsidR="00E901E1" w:rsidRPr="00D752BC" w:rsidRDefault="00E901E1" w:rsidP="005215D4">
            <w:pPr>
              <w:pStyle w:val="TableLeft"/>
              <w:contextualSpacing/>
              <w:rPr>
                <w:rStyle w:val="Strong"/>
                <w:rFonts w:eastAsiaTheme="majorEastAsia"/>
              </w:rPr>
            </w:pPr>
            <w:r w:rsidRPr="00D752BC">
              <w:rPr>
                <w:rStyle w:val="Strong"/>
              </w:rPr>
              <w:t>Number of Patients:</w:t>
            </w:r>
          </w:p>
        </w:tc>
        <w:tc>
          <w:tcPr>
            <w:tcW w:w="7495" w:type="dxa"/>
            <w:vAlign w:val="center"/>
          </w:tcPr>
          <w:p w14:paraId="30938273" w14:textId="77777777" w:rsidR="00E901E1" w:rsidRPr="00D752BC" w:rsidRDefault="00E901E1" w:rsidP="005215D4">
            <w:pPr>
              <w:pStyle w:val="BodyText"/>
              <w:spacing w:before="60" w:after="60" w:line="240" w:lineRule="auto"/>
              <w:contextualSpacing/>
              <w:rPr>
                <w:rStyle w:val="Strong"/>
                <w:rFonts w:eastAsiaTheme="majorEastAsia"/>
                <w:b w:val="0"/>
              </w:rPr>
            </w:pPr>
            <w:r>
              <w:rPr>
                <w:rStyle w:val="Strong"/>
                <w:rFonts w:eastAsiaTheme="majorEastAsia"/>
              </w:rPr>
              <w:t>750</w:t>
            </w:r>
          </w:p>
        </w:tc>
      </w:tr>
      <w:tr w:rsidR="00E901E1" w14:paraId="74036274" w14:textId="77777777" w:rsidTr="005215D4">
        <w:tc>
          <w:tcPr>
            <w:tcW w:w="1795" w:type="dxa"/>
          </w:tcPr>
          <w:p w14:paraId="72EA49DD" w14:textId="77777777" w:rsidR="00E901E1" w:rsidRPr="00D752BC" w:rsidRDefault="00E901E1" w:rsidP="005215D4">
            <w:pPr>
              <w:pStyle w:val="TableLeft"/>
              <w:contextualSpacing/>
              <w:rPr>
                <w:rStyle w:val="Strong"/>
                <w:rFonts w:eastAsiaTheme="majorEastAsia"/>
              </w:rPr>
            </w:pPr>
            <w:r w:rsidRPr="00D752BC">
              <w:rPr>
                <w:rStyle w:val="Strong"/>
              </w:rPr>
              <w:t>Study Design</w:t>
            </w:r>
            <w:r>
              <w:rPr>
                <w:rStyle w:val="Strong"/>
              </w:rPr>
              <w:t>:</w:t>
            </w:r>
          </w:p>
        </w:tc>
        <w:tc>
          <w:tcPr>
            <w:tcW w:w="7495" w:type="dxa"/>
            <w:vAlign w:val="center"/>
          </w:tcPr>
          <w:p w14:paraId="21209A0C" w14:textId="77777777" w:rsidR="00E901E1" w:rsidRDefault="00E901E1" w:rsidP="005215D4">
            <w:pPr>
              <w:pStyle w:val="BodyText"/>
              <w:spacing w:before="60" w:after="60" w:line="240" w:lineRule="auto"/>
              <w:contextualSpacing/>
              <w:rPr>
                <w:rStyle w:val="Strong"/>
                <w:rFonts w:eastAsiaTheme="majorEastAsia"/>
              </w:rPr>
            </w:pPr>
            <w:r>
              <w:rPr>
                <w:rStyle w:val="Strong"/>
                <w:rFonts w:eastAsiaTheme="majorEastAsia"/>
              </w:rPr>
              <w:t>This is a global, multicenter, open-label, Phase 3 study to evaluate the safety of:</w:t>
            </w:r>
          </w:p>
          <w:p w14:paraId="7AC29473" w14:textId="77777777" w:rsidR="00E901E1" w:rsidRDefault="00E901E1" w:rsidP="00E901E1">
            <w:pPr>
              <w:pStyle w:val="BodyText"/>
              <w:numPr>
                <w:ilvl w:val="0"/>
                <w:numId w:val="4"/>
              </w:numPr>
              <w:spacing w:before="60" w:after="60" w:line="240" w:lineRule="auto"/>
              <w:contextualSpacing/>
              <w:rPr>
                <w:rStyle w:val="Strong"/>
                <w:rFonts w:eastAsiaTheme="majorEastAsia"/>
                <w:b w:val="0"/>
              </w:rPr>
            </w:pPr>
            <w:r>
              <w:rPr>
                <w:rStyle w:val="Strong"/>
                <w:rFonts w:eastAsiaTheme="majorEastAsia"/>
              </w:rPr>
              <w:t>Treatment Arm A: experimental monotherapy treatment with an antibody-drug conjugate (ADC) compound until progressive disease (PD)</w:t>
            </w:r>
          </w:p>
          <w:p w14:paraId="15C5F4AB" w14:textId="77777777" w:rsidR="00E901E1" w:rsidRDefault="00E901E1" w:rsidP="00E901E1">
            <w:pPr>
              <w:pStyle w:val="BodyText"/>
              <w:numPr>
                <w:ilvl w:val="0"/>
                <w:numId w:val="4"/>
              </w:numPr>
              <w:spacing w:before="60" w:after="60" w:line="240" w:lineRule="auto"/>
              <w:contextualSpacing/>
              <w:rPr>
                <w:rStyle w:val="Strong"/>
                <w:rFonts w:eastAsiaTheme="majorEastAsia"/>
                <w:b w:val="0"/>
              </w:rPr>
            </w:pPr>
            <w:r>
              <w:rPr>
                <w:rStyle w:val="Strong"/>
                <w:rFonts w:eastAsiaTheme="majorEastAsia"/>
              </w:rPr>
              <w:t>Treatment Arm B: experimental monotherapy treatment with an ADC compound (9-12 cycles) followed by CDK4/6i given in combination with endocrine therapy (ET) until PD</w:t>
            </w:r>
          </w:p>
          <w:p w14:paraId="66480562" w14:textId="77777777" w:rsidR="00E901E1" w:rsidRPr="00D752BC" w:rsidRDefault="00E901E1" w:rsidP="00E901E1">
            <w:pPr>
              <w:pStyle w:val="BodyText"/>
              <w:numPr>
                <w:ilvl w:val="0"/>
                <w:numId w:val="4"/>
              </w:numPr>
              <w:spacing w:before="60" w:after="60" w:line="240" w:lineRule="auto"/>
              <w:contextualSpacing/>
              <w:rPr>
                <w:rStyle w:val="Strong"/>
                <w:rFonts w:eastAsiaTheme="majorEastAsia"/>
                <w:b w:val="0"/>
              </w:rPr>
            </w:pPr>
            <w:r>
              <w:rPr>
                <w:rStyle w:val="Strong"/>
                <w:rFonts w:eastAsiaTheme="majorEastAsia"/>
              </w:rPr>
              <w:t>Treatment Arm C: CDK4/6i given in combination with ET until PD</w:t>
            </w:r>
          </w:p>
        </w:tc>
      </w:tr>
      <w:tr w:rsidR="00E901E1" w14:paraId="70F1AD5F" w14:textId="77777777" w:rsidTr="005215D4">
        <w:tc>
          <w:tcPr>
            <w:tcW w:w="1795" w:type="dxa"/>
          </w:tcPr>
          <w:p w14:paraId="40E504E3" w14:textId="77777777" w:rsidR="00E901E1" w:rsidRPr="00D752BC" w:rsidRDefault="00E901E1" w:rsidP="005215D4">
            <w:pPr>
              <w:pStyle w:val="TableLeft"/>
              <w:contextualSpacing/>
              <w:rPr>
                <w:rStyle w:val="Strong"/>
                <w:rFonts w:eastAsiaTheme="majorEastAsia"/>
              </w:rPr>
            </w:pPr>
            <w:r w:rsidRPr="00D752BC">
              <w:rPr>
                <w:rStyle w:val="Strong"/>
              </w:rPr>
              <w:t>Primary Objectives:</w:t>
            </w:r>
          </w:p>
        </w:tc>
        <w:tc>
          <w:tcPr>
            <w:tcW w:w="7495" w:type="dxa"/>
            <w:vAlign w:val="center"/>
          </w:tcPr>
          <w:p w14:paraId="2CF93EF9" w14:textId="77777777" w:rsidR="00E901E1" w:rsidRPr="00D752BC" w:rsidRDefault="00E901E1" w:rsidP="005215D4">
            <w:pPr>
              <w:pStyle w:val="ListBullet"/>
              <w:spacing w:before="60" w:line="240" w:lineRule="auto"/>
              <w:contextualSpacing/>
              <w:rPr>
                <w:rStyle w:val="Strong"/>
                <w:rFonts w:eastAsiaTheme="majorEastAsia"/>
                <w:b w:val="0"/>
              </w:rPr>
            </w:pPr>
            <w:r>
              <w:rPr>
                <w:rStyle w:val="Strong"/>
                <w:rFonts w:eastAsiaTheme="majorEastAsia"/>
              </w:rPr>
              <w:t xml:space="preserve">To evaluate the experimental monotherapy progression-free survival followed by CDK4/6i given in combination with ET </w:t>
            </w:r>
          </w:p>
        </w:tc>
      </w:tr>
      <w:tr w:rsidR="00E901E1" w14:paraId="42DCADE5" w14:textId="77777777" w:rsidTr="005215D4">
        <w:tc>
          <w:tcPr>
            <w:tcW w:w="1795" w:type="dxa"/>
          </w:tcPr>
          <w:p w14:paraId="02950A54" w14:textId="77777777" w:rsidR="00E901E1" w:rsidRPr="00D752BC" w:rsidRDefault="00E901E1" w:rsidP="005215D4">
            <w:pPr>
              <w:pStyle w:val="TableLeft"/>
              <w:contextualSpacing/>
              <w:rPr>
                <w:rStyle w:val="Strong"/>
                <w:rFonts w:eastAsiaTheme="majorEastAsia"/>
              </w:rPr>
            </w:pPr>
            <w:r w:rsidRPr="00D752BC">
              <w:rPr>
                <w:rStyle w:val="Strong"/>
              </w:rPr>
              <w:t>Key Inclusion Criteria</w:t>
            </w:r>
          </w:p>
        </w:tc>
        <w:tc>
          <w:tcPr>
            <w:tcW w:w="7495" w:type="dxa"/>
            <w:vAlign w:val="center"/>
          </w:tcPr>
          <w:p w14:paraId="2AB9F2E3" w14:textId="77777777" w:rsidR="00E901E1" w:rsidRDefault="00E901E1" w:rsidP="00E901E1">
            <w:pPr>
              <w:pStyle w:val="ListNumber"/>
              <w:numPr>
                <w:ilvl w:val="0"/>
                <w:numId w:val="1"/>
              </w:numPr>
              <w:spacing w:before="60" w:after="60" w:line="240" w:lineRule="auto"/>
              <w:ind w:left="360"/>
              <w:contextualSpacing/>
              <w:rPr>
                <w:rStyle w:val="Strong"/>
                <w:rFonts w:eastAsiaTheme="majorEastAsia"/>
                <w:b w:val="0"/>
              </w:rPr>
            </w:pPr>
            <w:r>
              <w:rPr>
                <w:rStyle w:val="Strong"/>
                <w:rFonts w:eastAsiaTheme="majorEastAsia"/>
              </w:rPr>
              <w:t>Adults &gt;18 years at the time the informed consent form (ICF) is signed.</w:t>
            </w:r>
          </w:p>
          <w:p w14:paraId="3AA7B50D" w14:textId="77777777" w:rsidR="00E901E1" w:rsidRDefault="00E901E1" w:rsidP="00E901E1">
            <w:pPr>
              <w:pStyle w:val="ListNumber"/>
              <w:numPr>
                <w:ilvl w:val="0"/>
                <w:numId w:val="1"/>
              </w:numPr>
              <w:spacing w:before="60" w:after="60" w:line="240" w:lineRule="auto"/>
              <w:ind w:left="360"/>
              <w:contextualSpacing/>
              <w:rPr>
                <w:rStyle w:val="Strong"/>
                <w:rFonts w:eastAsiaTheme="majorEastAsia"/>
                <w:b w:val="0"/>
              </w:rPr>
            </w:pPr>
            <w:r>
              <w:rPr>
                <w:rStyle w:val="Strong"/>
                <w:rFonts w:eastAsiaTheme="majorEastAsia"/>
              </w:rPr>
              <w:t>Histologically confirmed advanced/metastatic breast cancer meeting all of the following:</w:t>
            </w:r>
          </w:p>
          <w:p w14:paraId="4ED9823F" w14:textId="77777777" w:rsidR="00E901E1" w:rsidRDefault="00E901E1" w:rsidP="00E901E1">
            <w:pPr>
              <w:pStyle w:val="ListNumber"/>
              <w:numPr>
                <w:ilvl w:val="0"/>
                <w:numId w:val="5"/>
              </w:numPr>
              <w:spacing w:before="60" w:after="60" w:line="240" w:lineRule="auto"/>
              <w:contextualSpacing/>
              <w:rPr>
                <w:rStyle w:val="Strong"/>
                <w:rFonts w:eastAsiaTheme="majorEastAsia"/>
                <w:b w:val="0"/>
              </w:rPr>
            </w:pPr>
            <w:r>
              <w:rPr>
                <w:rStyle w:val="Strong"/>
                <w:rFonts w:eastAsiaTheme="majorEastAsia"/>
              </w:rPr>
              <w:t>History of HER2-low or negative expression, defined as ICH 2+/ISH-negative or IHC 1+ (ISH-negative or untested) or IHC 0 (ISH-negative or untested), with a validated assay sample as per ASCO/CAP 2018 HER2 testing guidelines.</w:t>
            </w:r>
          </w:p>
          <w:p w14:paraId="09669284" w14:textId="77777777" w:rsidR="00E901E1" w:rsidRDefault="00E901E1" w:rsidP="00E901E1">
            <w:pPr>
              <w:pStyle w:val="ListNumber"/>
              <w:numPr>
                <w:ilvl w:val="0"/>
                <w:numId w:val="5"/>
              </w:numPr>
              <w:spacing w:before="60" w:after="60" w:line="240" w:lineRule="auto"/>
              <w:contextualSpacing/>
              <w:rPr>
                <w:rStyle w:val="Strong"/>
                <w:rFonts w:eastAsiaTheme="majorEastAsia"/>
                <w:b w:val="0"/>
              </w:rPr>
            </w:pPr>
            <w:r>
              <w:rPr>
                <w:rStyle w:val="Strong"/>
                <w:rFonts w:eastAsiaTheme="majorEastAsia"/>
              </w:rPr>
              <w:t>HER2-low expression or HER2 IHC&gt;0&lt;1+ expression</w:t>
            </w:r>
          </w:p>
          <w:p w14:paraId="3F0F8D72" w14:textId="77777777" w:rsidR="00E901E1" w:rsidRDefault="00E901E1" w:rsidP="00E901E1">
            <w:pPr>
              <w:pStyle w:val="ListNumber"/>
              <w:numPr>
                <w:ilvl w:val="0"/>
                <w:numId w:val="5"/>
              </w:numPr>
              <w:spacing w:before="60" w:after="60" w:line="240" w:lineRule="auto"/>
              <w:contextualSpacing/>
              <w:rPr>
                <w:rStyle w:val="Strong"/>
                <w:rFonts w:eastAsiaTheme="majorEastAsia"/>
                <w:b w:val="0"/>
              </w:rPr>
            </w:pPr>
            <w:r>
              <w:rPr>
                <w:rStyle w:val="Strong"/>
                <w:rFonts w:eastAsiaTheme="majorEastAsia"/>
              </w:rPr>
              <w:t>Was never previously reported as HER2-positive as per ASCO/CAP guidelines 2018</w:t>
            </w:r>
          </w:p>
          <w:p w14:paraId="52B230CB" w14:textId="77777777" w:rsidR="00E901E1" w:rsidRDefault="00E901E1" w:rsidP="00E901E1">
            <w:pPr>
              <w:pStyle w:val="ListNumber"/>
              <w:numPr>
                <w:ilvl w:val="0"/>
                <w:numId w:val="5"/>
              </w:numPr>
              <w:spacing w:before="60" w:after="60" w:line="240" w:lineRule="auto"/>
              <w:contextualSpacing/>
              <w:rPr>
                <w:rStyle w:val="Strong"/>
                <w:rFonts w:eastAsiaTheme="majorEastAsia"/>
                <w:b w:val="0"/>
              </w:rPr>
            </w:pPr>
            <w:r>
              <w:rPr>
                <w:rStyle w:val="Strong"/>
                <w:rFonts w:eastAsiaTheme="majorEastAsia"/>
              </w:rPr>
              <w:t>Documented hormone receptor-positive (either ER and/or PgR positive [ER or PgR &gt;1%]) per ASCO/CAP guidelines 2018 in the most recent biopsy</w:t>
            </w:r>
          </w:p>
          <w:p w14:paraId="1906C88B" w14:textId="77777777" w:rsidR="00E901E1" w:rsidRPr="00BF52B8" w:rsidRDefault="00E901E1" w:rsidP="00E901E1">
            <w:pPr>
              <w:pStyle w:val="ListNumber"/>
              <w:numPr>
                <w:ilvl w:val="0"/>
                <w:numId w:val="1"/>
              </w:numPr>
              <w:spacing w:before="60" w:after="60" w:line="240" w:lineRule="auto"/>
              <w:ind w:left="360"/>
              <w:contextualSpacing/>
              <w:rPr>
                <w:rFonts w:eastAsiaTheme="majorEastAsia"/>
                <w:bCs/>
              </w:rPr>
            </w:pPr>
            <w:r>
              <w:rPr>
                <w:rStyle w:val="Strong"/>
                <w:rFonts w:eastAsiaTheme="majorEastAsia"/>
              </w:rPr>
              <w:t xml:space="preserve">Metastatic disease or locoregionally recurrent </w:t>
            </w:r>
            <w:r>
              <w:t>disease (not amenable to resection or radiation therapy with curative intent) that have at least one of the following poor prognostic features:</w:t>
            </w:r>
          </w:p>
          <w:p w14:paraId="34484C72" w14:textId="77777777" w:rsidR="00E901E1" w:rsidRDefault="00E901E1" w:rsidP="00E901E1">
            <w:pPr>
              <w:pStyle w:val="ListNumber"/>
              <w:numPr>
                <w:ilvl w:val="0"/>
                <w:numId w:val="6"/>
              </w:numPr>
              <w:spacing w:before="60" w:after="60" w:line="240" w:lineRule="auto"/>
              <w:contextualSpacing/>
              <w:rPr>
                <w:rStyle w:val="Strong"/>
                <w:rFonts w:eastAsiaTheme="majorEastAsia"/>
                <w:b w:val="0"/>
              </w:rPr>
            </w:pPr>
            <w:r>
              <w:rPr>
                <w:rStyle w:val="Strong"/>
                <w:rFonts w:eastAsiaTheme="majorEastAsia"/>
              </w:rPr>
              <w:t>Relapsed during or within 12 months of completion of adjuvant ET.</w:t>
            </w:r>
          </w:p>
          <w:p w14:paraId="54A983FC" w14:textId="77777777" w:rsidR="00E901E1" w:rsidRDefault="00E901E1" w:rsidP="00E901E1">
            <w:pPr>
              <w:pStyle w:val="ListNumber"/>
              <w:numPr>
                <w:ilvl w:val="0"/>
                <w:numId w:val="6"/>
              </w:numPr>
              <w:spacing w:before="60" w:after="60" w:line="240" w:lineRule="auto"/>
              <w:contextualSpacing/>
              <w:rPr>
                <w:rStyle w:val="Strong"/>
                <w:rFonts w:eastAsiaTheme="majorEastAsia"/>
                <w:b w:val="0"/>
              </w:rPr>
            </w:pPr>
            <w:r>
              <w:rPr>
                <w:rStyle w:val="Strong"/>
                <w:rFonts w:eastAsiaTheme="majorEastAsia"/>
              </w:rPr>
              <w:t>Relapsed with CDK4/6i treatment in the adjuvant setting.</w:t>
            </w:r>
          </w:p>
          <w:p w14:paraId="06393AD5" w14:textId="77777777" w:rsidR="00E901E1" w:rsidRDefault="00E901E1" w:rsidP="00E901E1">
            <w:pPr>
              <w:pStyle w:val="ListNumber"/>
              <w:numPr>
                <w:ilvl w:val="0"/>
                <w:numId w:val="6"/>
              </w:numPr>
              <w:spacing w:before="60" w:after="60" w:line="240" w:lineRule="auto"/>
              <w:contextualSpacing/>
              <w:rPr>
                <w:rStyle w:val="Strong"/>
                <w:rFonts w:eastAsiaTheme="majorEastAsia"/>
                <w:b w:val="0"/>
              </w:rPr>
            </w:pPr>
            <w:r>
              <w:rPr>
                <w:rStyle w:val="Strong"/>
                <w:rFonts w:eastAsiaTheme="majorEastAsia"/>
              </w:rPr>
              <w:t>Presence of liver metastasis</w:t>
            </w:r>
          </w:p>
          <w:p w14:paraId="5C92C083" w14:textId="77777777" w:rsidR="00E901E1" w:rsidRDefault="00E901E1" w:rsidP="00E901E1">
            <w:pPr>
              <w:pStyle w:val="ListNumber"/>
              <w:numPr>
                <w:ilvl w:val="0"/>
                <w:numId w:val="6"/>
              </w:numPr>
              <w:spacing w:before="60" w:after="60" w:line="240" w:lineRule="auto"/>
              <w:contextualSpacing/>
              <w:rPr>
                <w:rStyle w:val="Strong"/>
                <w:rFonts w:eastAsiaTheme="majorEastAsia"/>
                <w:b w:val="0"/>
              </w:rPr>
            </w:pPr>
            <w:r>
              <w:rPr>
                <w:rStyle w:val="Strong"/>
                <w:rFonts w:eastAsiaTheme="majorEastAsia"/>
              </w:rPr>
              <w:t>ER-low positive as per ASCO/CAP guidelines (IHC 1% to 10%)</w:t>
            </w:r>
          </w:p>
          <w:p w14:paraId="04F05835" w14:textId="77777777" w:rsidR="00E901E1" w:rsidRPr="004F79E2" w:rsidRDefault="00E901E1" w:rsidP="00E901E1">
            <w:pPr>
              <w:pStyle w:val="ListNumber"/>
              <w:numPr>
                <w:ilvl w:val="0"/>
                <w:numId w:val="1"/>
              </w:numPr>
              <w:spacing w:before="60" w:after="60" w:line="240" w:lineRule="auto"/>
              <w:ind w:left="360"/>
              <w:contextualSpacing/>
              <w:rPr>
                <w:rFonts w:eastAsiaTheme="majorEastAsia"/>
                <w:bCs/>
              </w:rPr>
            </w:pPr>
            <w:r>
              <w:t>Must have an adequate tumor tissue sample available for assessment of HER2 by the central laboratory and exploratory biomarker analyses from the most recently collected pre-randomization tumor sample.</w:t>
            </w:r>
          </w:p>
          <w:p w14:paraId="13748AFA" w14:textId="77777777" w:rsidR="00E901E1" w:rsidRPr="006856CE" w:rsidRDefault="00E901E1" w:rsidP="00E901E1">
            <w:pPr>
              <w:pStyle w:val="ListNumber"/>
              <w:numPr>
                <w:ilvl w:val="0"/>
                <w:numId w:val="1"/>
              </w:numPr>
              <w:spacing w:before="60" w:after="60" w:line="240" w:lineRule="auto"/>
              <w:ind w:left="360"/>
              <w:contextualSpacing/>
              <w:rPr>
                <w:rFonts w:eastAsiaTheme="majorEastAsia"/>
                <w:bCs/>
              </w:rPr>
            </w:pPr>
            <w:r>
              <w:t>Treatment naïve in the locally advanced or metastatic setting. Subjects who have received chemotherapy and/or ET ± CDK4/6i in the neoadjuvant or adjuvant setting are eligible.</w:t>
            </w:r>
          </w:p>
          <w:p w14:paraId="79044241" w14:textId="77777777" w:rsidR="00E901E1" w:rsidRPr="006856CE" w:rsidRDefault="00E901E1" w:rsidP="00E901E1">
            <w:pPr>
              <w:pStyle w:val="ListNumber"/>
              <w:numPr>
                <w:ilvl w:val="0"/>
                <w:numId w:val="1"/>
              </w:numPr>
              <w:spacing w:before="60" w:after="60" w:line="240" w:lineRule="auto"/>
              <w:ind w:left="360"/>
              <w:contextualSpacing/>
              <w:rPr>
                <w:rFonts w:eastAsiaTheme="majorEastAsia"/>
                <w:bCs/>
              </w:rPr>
            </w:pPr>
            <w:r>
              <w:t>Life expectancy ≥12 weeks at Screening</w:t>
            </w:r>
          </w:p>
          <w:p w14:paraId="336EA29D" w14:textId="77777777" w:rsidR="00E901E1" w:rsidRPr="009A6763" w:rsidRDefault="00E901E1" w:rsidP="00E901E1">
            <w:pPr>
              <w:pStyle w:val="ListNumber"/>
              <w:numPr>
                <w:ilvl w:val="0"/>
                <w:numId w:val="1"/>
              </w:numPr>
              <w:spacing w:before="60" w:after="60" w:line="240" w:lineRule="auto"/>
              <w:ind w:left="360"/>
              <w:contextualSpacing/>
              <w:rPr>
                <w:rFonts w:eastAsiaTheme="majorEastAsia"/>
                <w:bCs/>
              </w:rPr>
            </w:pPr>
            <w:r>
              <w:t>At least 1 lesion, not previously irradiated, that can be measured accurately at Baseline as ≥10 mm in the longest diameter (except lymph nodes, which must have a short axis ≥15 mm) with computed tomography (CT) or magnetic resonance imaging (MRI), which is suitable for accurate repeated measurements. Lytic or mixed lytic bone lesions that can be assessed by CT or MRI in the absence of measurable disease as defined above is acceptable; subjects with sclerotic/osteoblastic bone lesions only in the absence of measurable disease are not eligible.</w:t>
            </w:r>
          </w:p>
          <w:p w14:paraId="36612333" w14:textId="77777777" w:rsidR="00E901E1" w:rsidRPr="007406EA" w:rsidRDefault="00E901E1" w:rsidP="00E901E1">
            <w:pPr>
              <w:pStyle w:val="ListNumber"/>
              <w:numPr>
                <w:ilvl w:val="0"/>
                <w:numId w:val="1"/>
              </w:numPr>
              <w:spacing w:before="60" w:after="60" w:line="240" w:lineRule="auto"/>
              <w:ind w:left="360"/>
              <w:contextualSpacing/>
              <w:rPr>
                <w:rFonts w:eastAsiaTheme="majorEastAsia"/>
                <w:bCs/>
              </w:rPr>
            </w:pPr>
            <w:r>
              <w:t>Performance score (PS) of ≤1 on the Eastern Cooperative Oncology Group (ECOG) scale.</w:t>
            </w:r>
          </w:p>
          <w:p w14:paraId="47901DEA" w14:textId="77777777" w:rsidR="00E901E1" w:rsidRPr="007406EA" w:rsidRDefault="00E901E1" w:rsidP="00E901E1">
            <w:pPr>
              <w:pStyle w:val="ListNumber"/>
              <w:numPr>
                <w:ilvl w:val="0"/>
                <w:numId w:val="1"/>
              </w:numPr>
              <w:spacing w:before="60" w:after="60" w:line="240" w:lineRule="auto"/>
              <w:ind w:left="360"/>
              <w:contextualSpacing/>
              <w:rPr>
                <w:rFonts w:eastAsiaTheme="majorEastAsia"/>
                <w:bCs/>
              </w:rPr>
            </w:pPr>
            <w:r>
              <w:t>Subject is able to swallow capsules/tablets.</w:t>
            </w:r>
          </w:p>
          <w:p w14:paraId="7ED8714C" w14:textId="77777777" w:rsidR="00E901E1" w:rsidRPr="00C81BA5" w:rsidRDefault="00E901E1" w:rsidP="00E901E1">
            <w:pPr>
              <w:pStyle w:val="ListNumber"/>
              <w:numPr>
                <w:ilvl w:val="0"/>
                <w:numId w:val="1"/>
              </w:numPr>
              <w:spacing w:before="60" w:after="60" w:line="240" w:lineRule="auto"/>
              <w:ind w:left="360"/>
              <w:contextualSpacing/>
              <w:rPr>
                <w:rFonts w:eastAsiaTheme="majorEastAsia"/>
                <w:bCs/>
              </w:rPr>
            </w:pPr>
            <w:r>
              <w:t>Left ventricular ejection fraction (LVEF) ≥50% within 28 days prior to randomization</w:t>
            </w:r>
            <w:r>
              <w:rPr>
                <w:bCs/>
              </w:rPr>
              <w:t>.</w:t>
            </w:r>
          </w:p>
          <w:p w14:paraId="507F61E6" w14:textId="77777777" w:rsidR="00E901E1" w:rsidRPr="00D97015" w:rsidRDefault="00E901E1" w:rsidP="00E901E1">
            <w:pPr>
              <w:pStyle w:val="ListNumber"/>
              <w:numPr>
                <w:ilvl w:val="0"/>
                <w:numId w:val="1"/>
              </w:numPr>
              <w:spacing w:before="60" w:after="60" w:line="240" w:lineRule="auto"/>
              <w:ind w:left="360"/>
              <w:contextualSpacing/>
              <w:rPr>
                <w:rFonts w:eastAsiaTheme="majorEastAsia"/>
                <w:bCs/>
              </w:rPr>
            </w:pPr>
            <w:r>
              <w:t xml:space="preserve">Adequate organ and bone marrow function within 14 days before randomization. </w:t>
            </w:r>
          </w:p>
          <w:p w14:paraId="41DBA6F8" w14:textId="77777777" w:rsidR="00E901E1" w:rsidRPr="007452E2" w:rsidRDefault="00E901E1" w:rsidP="00E901E1">
            <w:pPr>
              <w:pStyle w:val="ListNumber"/>
              <w:numPr>
                <w:ilvl w:val="0"/>
                <w:numId w:val="1"/>
              </w:numPr>
              <w:spacing w:before="60" w:after="60" w:line="240" w:lineRule="auto"/>
              <w:ind w:left="360"/>
              <w:contextualSpacing/>
              <w:jc w:val="left"/>
              <w:rPr>
                <w:rFonts w:eastAsiaTheme="majorEastAsia"/>
                <w:bCs/>
              </w:rPr>
            </w:pPr>
            <w:r>
              <w:t>Male and female subjects of reproductive/childbearing potential must agree to use a highly effective form of contraception or avoid intercourse during and upon completion of the study and after the last dose of the experimental treatment for at least 7 months for females or 4 months for males or according to the label approved in the country of drug administration for TPC treatments, whichever is longest and based on the last study drug received.</w:t>
            </w:r>
          </w:p>
          <w:p w14:paraId="22A15FF2" w14:textId="77777777" w:rsidR="00E901E1" w:rsidRPr="007452E2" w:rsidRDefault="00E901E1" w:rsidP="00E901E1">
            <w:pPr>
              <w:pStyle w:val="ListNumber"/>
              <w:numPr>
                <w:ilvl w:val="0"/>
                <w:numId w:val="1"/>
              </w:numPr>
              <w:spacing w:before="60" w:after="60" w:line="240" w:lineRule="auto"/>
              <w:ind w:left="360"/>
              <w:contextualSpacing/>
              <w:jc w:val="left"/>
              <w:rPr>
                <w:rFonts w:eastAsiaTheme="majorEastAsia"/>
                <w:bCs/>
              </w:rPr>
            </w:pPr>
            <w:r>
              <w:t>Female subjects of reproductive/childbearing potential must agree to use ovarian suppression therapy in accordance with the CDK4/6i and ET label approved in the country of drug administration.</w:t>
            </w:r>
          </w:p>
          <w:p w14:paraId="23EA9750" w14:textId="77777777" w:rsidR="00E901E1" w:rsidRPr="009276FE" w:rsidRDefault="00E901E1" w:rsidP="00E901E1">
            <w:pPr>
              <w:pStyle w:val="ListNumber"/>
              <w:numPr>
                <w:ilvl w:val="0"/>
                <w:numId w:val="1"/>
              </w:numPr>
              <w:spacing w:before="60" w:after="60" w:line="240" w:lineRule="auto"/>
              <w:ind w:left="360"/>
              <w:contextualSpacing/>
              <w:jc w:val="left"/>
              <w:rPr>
                <w:rFonts w:eastAsiaTheme="majorEastAsia"/>
                <w:bCs/>
              </w:rPr>
            </w:pPr>
            <w:r>
              <w:t xml:space="preserve">Male subjects must not freeze or donate sperm from randomization, throughout the study period, and for a designated time after the last dose of study drug(s) received: at least 4 months for the experimental treatment and according to the label approved in the country of drug administration for TPC treatments, whichever is the longest. </w:t>
            </w:r>
          </w:p>
          <w:p w14:paraId="79BBAE14" w14:textId="446D2C85" w:rsidR="00E901E1" w:rsidRPr="00BC013F" w:rsidRDefault="00E901E1" w:rsidP="00E901E1">
            <w:pPr>
              <w:pStyle w:val="ListNumber"/>
              <w:numPr>
                <w:ilvl w:val="0"/>
                <w:numId w:val="1"/>
              </w:numPr>
              <w:spacing w:before="60" w:after="60" w:line="240" w:lineRule="auto"/>
              <w:ind w:left="360"/>
              <w:contextualSpacing/>
              <w:jc w:val="left"/>
              <w:rPr>
                <w:rFonts w:eastAsiaTheme="majorEastAsia"/>
                <w:bCs/>
              </w:rPr>
            </w:pPr>
            <w:r>
              <w:t>Female subjects must not donate, or retrieve for their own use, ova from the time of randomization, throughout the study Treatment Period, and for a designated time after the last dose of study drug(s) received: at least 7 months for the experimental treatment and according to the label approved in the country of drug administration for TPC treatments, whichever is longest.</w:t>
            </w:r>
          </w:p>
          <w:p w14:paraId="30122330" w14:textId="77777777" w:rsidR="00E901E1" w:rsidRPr="00201D98" w:rsidRDefault="00E901E1" w:rsidP="00E901E1">
            <w:pPr>
              <w:pStyle w:val="ListNumber"/>
              <w:numPr>
                <w:ilvl w:val="0"/>
                <w:numId w:val="1"/>
              </w:numPr>
              <w:spacing w:before="60" w:after="60" w:line="240" w:lineRule="auto"/>
              <w:ind w:left="360"/>
              <w:contextualSpacing/>
              <w:jc w:val="left"/>
              <w:rPr>
                <w:rStyle w:val="Strong"/>
                <w:rFonts w:eastAsiaTheme="majorEastAsia"/>
                <w:b w:val="0"/>
              </w:rPr>
            </w:pPr>
            <w:r>
              <w:t>Is willing and able to comply with scheduled visits, drug administration plan, laboratory tests, other study procedures, and study restrictions.</w:t>
            </w:r>
          </w:p>
        </w:tc>
      </w:tr>
      <w:tr w:rsidR="00E901E1" w14:paraId="437A5B5B" w14:textId="77777777" w:rsidTr="005215D4">
        <w:tc>
          <w:tcPr>
            <w:tcW w:w="1795" w:type="dxa"/>
          </w:tcPr>
          <w:p w14:paraId="270812A5" w14:textId="77777777" w:rsidR="00E901E1" w:rsidRPr="00D752BC" w:rsidRDefault="00E901E1" w:rsidP="005215D4">
            <w:pPr>
              <w:pStyle w:val="TableLeft"/>
              <w:contextualSpacing/>
              <w:rPr>
                <w:rStyle w:val="Strong"/>
                <w:rFonts w:eastAsiaTheme="majorEastAsia"/>
              </w:rPr>
            </w:pPr>
            <w:r w:rsidRPr="00D752BC">
              <w:rPr>
                <w:rStyle w:val="Strong"/>
              </w:rPr>
              <w:lastRenderedPageBreak/>
              <w:t>Key Exclusion Criteria</w:t>
            </w:r>
          </w:p>
        </w:tc>
        <w:tc>
          <w:tcPr>
            <w:tcW w:w="7495" w:type="dxa"/>
            <w:vAlign w:val="center"/>
          </w:tcPr>
          <w:p w14:paraId="7BBFFF5B" w14:textId="77777777" w:rsidR="00E901E1" w:rsidRPr="0019373D" w:rsidRDefault="00E901E1" w:rsidP="00E901E1">
            <w:pPr>
              <w:pStyle w:val="ListNumber"/>
              <w:numPr>
                <w:ilvl w:val="0"/>
                <w:numId w:val="3"/>
              </w:numPr>
              <w:spacing w:before="60" w:after="60" w:line="240" w:lineRule="auto"/>
              <w:ind w:left="360"/>
              <w:contextualSpacing/>
              <w:jc w:val="left"/>
              <w:rPr>
                <w:rFonts w:eastAsiaTheme="majorEastAsia"/>
                <w:bCs/>
              </w:rPr>
            </w:pPr>
            <w:r>
              <w:t>Ineligible for the SoC TPC because of previously having received treatment with the same agent(s) or is contraindicated. Subjects are eligible to be treated with a CDK4/6i and ET to which they have not previously been exposed to.</w:t>
            </w:r>
          </w:p>
          <w:p w14:paraId="0FB447D6" w14:textId="77777777" w:rsidR="00E901E1" w:rsidRPr="00900CFD" w:rsidRDefault="00E901E1" w:rsidP="00E901E1">
            <w:pPr>
              <w:pStyle w:val="ListNumber"/>
              <w:numPr>
                <w:ilvl w:val="0"/>
                <w:numId w:val="3"/>
              </w:numPr>
              <w:spacing w:before="60" w:after="60" w:line="240" w:lineRule="auto"/>
              <w:ind w:left="360"/>
              <w:contextualSpacing/>
              <w:jc w:val="left"/>
              <w:rPr>
                <w:rFonts w:eastAsiaTheme="majorEastAsia"/>
                <w:bCs/>
              </w:rPr>
            </w:pPr>
            <w:r>
              <w:t>Previously treated in metastatic or locoregionally recurrent BC.</w:t>
            </w:r>
          </w:p>
          <w:p w14:paraId="1234A74D" w14:textId="77777777" w:rsidR="00E901E1" w:rsidRPr="00900CFD" w:rsidRDefault="00E901E1" w:rsidP="00E901E1">
            <w:pPr>
              <w:pStyle w:val="ListNumber"/>
              <w:numPr>
                <w:ilvl w:val="0"/>
                <w:numId w:val="3"/>
              </w:numPr>
              <w:spacing w:before="60" w:after="60" w:line="240" w:lineRule="auto"/>
              <w:ind w:left="360"/>
              <w:contextualSpacing/>
              <w:jc w:val="left"/>
              <w:rPr>
                <w:rFonts w:eastAsiaTheme="majorEastAsia"/>
                <w:bCs/>
              </w:rPr>
            </w:pPr>
            <w:r>
              <w:t>Prior treatment with an antibody drug conjugate that consists of an exatecan derivative that is a topoisomerase I inhibitor.</w:t>
            </w:r>
          </w:p>
          <w:p w14:paraId="0902DE30" w14:textId="77777777" w:rsidR="00E901E1" w:rsidRPr="00CB68A3" w:rsidRDefault="00E901E1" w:rsidP="00E901E1">
            <w:pPr>
              <w:pStyle w:val="ListNumber"/>
              <w:numPr>
                <w:ilvl w:val="0"/>
                <w:numId w:val="3"/>
              </w:numPr>
              <w:spacing w:before="60" w:after="60" w:line="240" w:lineRule="auto"/>
              <w:ind w:left="360"/>
              <w:contextualSpacing/>
              <w:jc w:val="left"/>
              <w:rPr>
                <w:rFonts w:eastAsiaTheme="majorEastAsia"/>
                <w:bCs/>
              </w:rPr>
            </w:pPr>
            <w:r>
              <w:t>Inadequate washout period before randomization, defined as follows:</w:t>
            </w:r>
          </w:p>
          <w:p w14:paraId="4E12872B" w14:textId="77777777" w:rsidR="00E901E1" w:rsidRDefault="00E901E1" w:rsidP="00E901E1">
            <w:pPr>
              <w:pStyle w:val="ListNumber"/>
              <w:numPr>
                <w:ilvl w:val="0"/>
                <w:numId w:val="7"/>
              </w:numPr>
              <w:spacing w:before="60" w:after="60" w:line="240" w:lineRule="auto"/>
              <w:contextualSpacing/>
              <w:jc w:val="left"/>
              <w:rPr>
                <w:rStyle w:val="Strong"/>
                <w:rFonts w:eastAsiaTheme="majorEastAsia"/>
                <w:b w:val="0"/>
              </w:rPr>
            </w:pPr>
            <w:r>
              <w:rPr>
                <w:rStyle w:val="Strong"/>
                <w:rFonts w:eastAsiaTheme="majorEastAsia"/>
              </w:rPr>
              <w:t>Major surgery &lt;4 weeks</w:t>
            </w:r>
          </w:p>
          <w:p w14:paraId="37D84B26" w14:textId="77777777" w:rsidR="00E901E1" w:rsidRDefault="00E901E1" w:rsidP="00E901E1">
            <w:pPr>
              <w:pStyle w:val="ListNumber"/>
              <w:numPr>
                <w:ilvl w:val="0"/>
                <w:numId w:val="7"/>
              </w:numPr>
              <w:spacing w:before="60" w:after="60" w:line="240" w:lineRule="auto"/>
              <w:contextualSpacing/>
              <w:jc w:val="left"/>
              <w:rPr>
                <w:rStyle w:val="Strong"/>
                <w:rFonts w:eastAsiaTheme="majorEastAsia"/>
                <w:b w:val="0"/>
              </w:rPr>
            </w:pPr>
            <w:r>
              <w:rPr>
                <w:rStyle w:val="Strong"/>
                <w:rFonts w:eastAsiaTheme="majorEastAsia"/>
              </w:rPr>
              <w:t>Radiotherapy including palliative stereotactic radiation to chest &lt;4 weeks (if palliative stereotactic radiation therapy to other anatomic areas &lt;2 weeks)</w:t>
            </w:r>
          </w:p>
          <w:p w14:paraId="7FC7B210" w14:textId="77777777" w:rsidR="00E901E1" w:rsidRDefault="00E901E1" w:rsidP="00E901E1">
            <w:pPr>
              <w:pStyle w:val="ListNumber"/>
              <w:numPr>
                <w:ilvl w:val="0"/>
                <w:numId w:val="7"/>
              </w:numPr>
              <w:spacing w:before="60" w:after="60" w:line="240" w:lineRule="auto"/>
              <w:contextualSpacing/>
              <w:jc w:val="left"/>
              <w:rPr>
                <w:rStyle w:val="Strong"/>
                <w:rFonts w:eastAsiaTheme="majorEastAsia"/>
                <w:b w:val="0"/>
              </w:rPr>
            </w:pPr>
            <w:r>
              <w:rPr>
                <w:rStyle w:val="Strong"/>
                <w:rFonts w:eastAsiaTheme="majorEastAsia"/>
              </w:rPr>
              <w:lastRenderedPageBreak/>
              <w:t>Systemic anticancer therapy (immunotherapy [non-antibody-based therapy], retinoid therapy) or hormonal therapy &lt;3 weeks before study drug administration</w:t>
            </w:r>
          </w:p>
          <w:p w14:paraId="2B071809" w14:textId="77777777" w:rsidR="00E901E1" w:rsidRDefault="00E901E1" w:rsidP="00E901E1">
            <w:pPr>
              <w:pStyle w:val="ListNumber"/>
              <w:numPr>
                <w:ilvl w:val="0"/>
                <w:numId w:val="7"/>
              </w:numPr>
              <w:spacing w:before="60" w:after="60" w:line="240" w:lineRule="auto"/>
              <w:contextualSpacing/>
              <w:jc w:val="left"/>
              <w:rPr>
                <w:rStyle w:val="Strong"/>
                <w:rFonts w:eastAsiaTheme="majorEastAsia"/>
                <w:b w:val="0"/>
              </w:rPr>
            </w:pPr>
            <w:r>
              <w:rPr>
                <w:rStyle w:val="Strong"/>
                <w:rFonts w:eastAsiaTheme="majorEastAsia"/>
              </w:rPr>
              <w:t>Antibody-based anticancer &lt;4 weeks</w:t>
            </w:r>
          </w:p>
          <w:p w14:paraId="4A31CD70" w14:textId="77777777" w:rsidR="00E901E1" w:rsidRDefault="00E901E1" w:rsidP="00E901E1">
            <w:pPr>
              <w:pStyle w:val="ListNumber"/>
              <w:numPr>
                <w:ilvl w:val="0"/>
                <w:numId w:val="7"/>
              </w:numPr>
              <w:spacing w:before="60" w:after="60" w:line="240" w:lineRule="auto"/>
              <w:contextualSpacing/>
              <w:jc w:val="left"/>
              <w:rPr>
                <w:rStyle w:val="Strong"/>
                <w:rFonts w:eastAsiaTheme="majorEastAsia"/>
                <w:b w:val="0"/>
              </w:rPr>
            </w:pPr>
            <w:r>
              <w:rPr>
                <w:rStyle w:val="Strong"/>
                <w:rFonts w:eastAsiaTheme="majorEastAsia"/>
              </w:rPr>
              <w:t>Nitrosoureas &lt;6 weeks</w:t>
            </w:r>
          </w:p>
          <w:p w14:paraId="73A3160E" w14:textId="77777777" w:rsidR="00E901E1" w:rsidRDefault="00E901E1" w:rsidP="00E901E1">
            <w:pPr>
              <w:pStyle w:val="ListNumber"/>
              <w:numPr>
                <w:ilvl w:val="0"/>
                <w:numId w:val="7"/>
              </w:numPr>
              <w:spacing w:before="60" w:after="60" w:line="240" w:lineRule="auto"/>
              <w:contextualSpacing/>
              <w:jc w:val="left"/>
              <w:rPr>
                <w:rStyle w:val="Strong"/>
                <w:rFonts w:eastAsiaTheme="majorEastAsia"/>
                <w:b w:val="0"/>
              </w:rPr>
            </w:pPr>
            <w:r>
              <w:rPr>
                <w:rStyle w:val="Strong"/>
                <w:rFonts w:eastAsiaTheme="majorEastAsia"/>
              </w:rPr>
              <w:t>Mitomycin C &lt;6 weeks</w:t>
            </w:r>
          </w:p>
          <w:p w14:paraId="52920528" w14:textId="77777777" w:rsidR="00E901E1" w:rsidRDefault="00E901E1" w:rsidP="00E901E1">
            <w:pPr>
              <w:pStyle w:val="ListNumber"/>
              <w:numPr>
                <w:ilvl w:val="0"/>
                <w:numId w:val="7"/>
              </w:numPr>
              <w:spacing w:before="60" w:after="60" w:line="240" w:lineRule="auto"/>
              <w:contextualSpacing/>
              <w:jc w:val="left"/>
              <w:rPr>
                <w:rStyle w:val="Strong"/>
                <w:rFonts w:eastAsiaTheme="majorEastAsia"/>
                <w:b w:val="0"/>
              </w:rPr>
            </w:pPr>
            <w:r>
              <w:rPr>
                <w:rStyle w:val="Strong"/>
                <w:rFonts w:eastAsiaTheme="majorEastAsia"/>
              </w:rPr>
              <w:t>Targeted agents and small molecules &lt;2 weeks or 5 half-lives, whichever is longer.</w:t>
            </w:r>
          </w:p>
          <w:p w14:paraId="46DCA2ED" w14:textId="77777777" w:rsidR="00E901E1" w:rsidRDefault="00E901E1" w:rsidP="00E901E1">
            <w:pPr>
              <w:pStyle w:val="ListNumber"/>
              <w:numPr>
                <w:ilvl w:val="0"/>
                <w:numId w:val="7"/>
              </w:numPr>
              <w:spacing w:before="60" w:after="60" w:line="240" w:lineRule="auto"/>
              <w:contextualSpacing/>
              <w:jc w:val="left"/>
              <w:rPr>
                <w:rStyle w:val="Strong"/>
                <w:rFonts w:eastAsiaTheme="majorEastAsia"/>
                <w:b w:val="0"/>
              </w:rPr>
            </w:pPr>
            <w:r>
              <w:rPr>
                <w:rStyle w:val="Strong"/>
                <w:rFonts w:eastAsiaTheme="majorEastAsia"/>
              </w:rPr>
              <w:t>Chloroquine/hydroxychloroquine &lt;14 days</w:t>
            </w:r>
          </w:p>
          <w:p w14:paraId="19633E4F" w14:textId="77777777" w:rsidR="00E901E1" w:rsidRPr="00F637DC" w:rsidRDefault="00E901E1" w:rsidP="00E901E1">
            <w:pPr>
              <w:pStyle w:val="ListNumber"/>
              <w:numPr>
                <w:ilvl w:val="0"/>
                <w:numId w:val="3"/>
              </w:numPr>
              <w:spacing w:before="60" w:after="60" w:line="240" w:lineRule="auto"/>
              <w:ind w:left="360"/>
              <w:contextualSpacing/>
              <w:jc w:val="left"/>
              <w:rPr>
                <w:rFonts w:eastAsiaTheme="majorEastAsia"/>
                <w:bCs/>
              </w:rPr>
            </w:pPr>
            <w:r>
              <w:t>Has spinal cord compression or clinically active central nervous system (CNS) metastases, defined as untreated or symptomatic, or requiring therapy with corticosteroids or anticonvulsants to control associated symptoms.</w:t>
            </w:r>
          </w:p>
          <w:p w14:paraId="0F5A18DF" w14:textId="77777777" w:rsidR="00E901E1" w:rsidRPr="00EE544D" w:rsidRDefault="00E901E1" w:rsidP="00E901E1">
            <w:pPr>
              <w:pStyle w:val="ListNumber"/>
              <w:numPr>
                <w:ilvl w:val="0"/>
                <w:numId w:val="3"/>
              </w:numPr>
              <w:spacing w:before="60" w:after="60" w:line="240" w:lineRule="auto"/>
              <w:ind w:left="360"/>
              <w:contextualSpacing/>
              <w:jc w:val="left"/>
              <w:rPr>
                <w:rFonts w:eastAsiaTheme="majorEastAsia"/>
                <w:bCs/>
              </w:rPr>
            </w:pPr>
            <w:r>
              <w:t>Any of the following within the past 6 months: cerebrovascular accident, transient ischemic attack, other arterial thromboembolic event, or pulmonary embolism.</w:t>
            </w:r>
          </w:p>
          <w:p w14:paraId="0E78D105" w14:textId="77777777" w:rsidR="00E901E1" w:rsidRPr="00376F10" w:rsidRDefault="00E901E1" w:rsidP="00E901E1">
            <w:pPr>
              <w:pStyle w:val="ListNumber"/>
              <w:numPr>
                <w:ilvl w:val="0"/>
                <w:numId w:val="3"/>
              </w:numPr>
              <w:spacing w:before="60" w:after="60" w:line="240" w:lineRule="auto"/>
              <w:ind w:left="360"/>
              <w:contextualSpacing/>
              <w:jc w:val="left"/>
              <w:rPr>
                <w:rFonts w:eastAsiaTheme="majorEastAsia"/>
                <w:bCs/>
              </w:rPr>
            </w:pPr>
            <w:r>
              <w:t>Uncontrolled or significant cardiovascular disease, including the following:</w:t>
            </w:r>
          </w:p>
          <w:p w14:paraId="4BF77486" w14:textId="77777777" w:rsidR="00E901E1" w:rsidRPr="00A61650" w:rsidRDefault="00E901E1" w:rsidP="00E901E1">
            <w:pPr>
              <w:pStyle w:val="ListNumber"/>
              <w:numPr>
                <w:ilvl w:val="0"/>
                <w:numId w:val="8"/>
              </w:numPr>
              <w:spacing w:before="60" w:after="60" w:line="240" w:lineRule="auto"/>
              <w:contextualSpacing/>
              <w:jc w:val="left"/>
              <w:rPr>
                <w:rFonts w:eastAsiaTheme="majorEastAsia"/>
                <w:bCs/>
              </w:rPr>
            </w:pPr>
            <w:r>
              <w:rPr>
                <w:rStyle w:val="Strong"/>
                <w:rFonts w:eastAsiaTheme="majorEastAsia"/>
              </w:rPr>
              <w:t xml:space="preserve">Has </w:t>
            </w:r>
            <w:r>
              <w:t>as a corrected QT interval (QTcF) prolongation of &gt;470 ms (females) or &gt;450 ms (males) based on the average of the screening triplicate 12-lead electrocardiogram (ECG).</w:t>
            </w:r>
          </w:p>
          <w:p w14:paraId="6F3E0BFF" w14:textId="77777777" w:rsidR="00E901E1" w:rsidRPr="003436A2" w:rsidRDefault="00E901E1" w:rsidP="00E901E1">
            <w:pPr>
              <w:pStyle w:val="ListNumber"/>
              <w:numPr>
                <w:ilvl w:val="0"/>
                <w:numId w:val="8"/>
              </w:numPr>
              <w:spacing w:before="60" w:after="60" w:line="240" w:lineRule="auto"/>
              <w:contextualSpacing/>
              <w:jc w:val="left"/>
              <w:rPr>
                <w:rFonts w:eastAsiaTheme="majorEastAsia"/>
                <w:bCs/>
              </w:rPr>
            </w:pPr>
            <w:r>
              <w:t xml:space="preserve">Medical history of myocardial infarction (MI) within 6 months before randomization/enrollment, symptomatic congestive heart failure (CHF; New York Heart Association Class II to IV). </w:t>
            </w:r>
          </w:p>
          <w:p w14:paraId="3A5F353E" w14:textId="77777777" w:rsidR="00E901E1" w:rsidRPr="003436A2" w:rsidRDefault="00E901E1" w:rsidP="00E901E1">
            <w:pPr>
              <w:pStyle w:val="ListNumber"/>
              <w:numPr>
                <w:ilvl w:val="0"/>
                <w:numId w:val="8"/>
              </w:numPr>
              <w:spacing w:before="60" w:after="60" w:line="240" w:lineRule="auto"/>
              <w:contextualSpacing/>
              <w:jc w:val="left"/>
              <w:rPr>
                <w:rFonts w:eastAsiaTheme="majorEastAsia"/>
                <w:bCs/>
              </w:rPr>
            </w:pPr>
            <w:r>
              <w:t>Uncontrolled angina pectoris within 6 months prior to randomization.</w:t>
            </w:r>
          </w:p>
          <w:p w14:paraId="718A4BE2" w14:textId="77777777" w:rsidR="00E901E1" w:rsidRPr="005D1D14" w:rsidRDefault="00E901E1" w:rsidP="00E901E1">
            <w:pPr>
              <w:pStyle w:val="ListNumber"/>
              <w:numPr>
                <w:ilvl w:val="0"/>
                <w:numId w:val="8"/>
              </w:numPr>
              <w:spacing w:before="60" w:after="60" w:line="240" w:lineRule="auto"/>
              <w:contextualSpacing/>
              <w:jc w:val="left"/>
              <w:rPr>
                <w:rFonts w:eastAsiaTheme="majorEastAsia"/>
                <w:bCs/>
              </w:rPr>
            </w:pPr>
            <w:r>
              <w:t>Uncontrolled hypertension (resting systolic blood pressure &gt;180 mmHg or diastolic blood pressure &gt;110 mmHg).</w:t>
            </w:r>
          </w:p>
          <w:p w14:paraId="618E1E6D" w14:textId="77777777" w:rsidR="00E901E1" w:rsidRPr="005D1D14" w:rsidRDefault="00E901E1" w:rsidP="00E901E1">
            <w:pPr>
              <w:pStyle w:val="ListNumber"/>
              <w:numPr>
                <w:ilvl w:val="0"/>
                <w:numId w:val="3"/>
              </w:numPr>
              <w:spacing w:before="60" w:after="60" w:line="240" w:lineRule="auto"/>
              <w:ind w:left="360"/>
              <w:contextualSpacing/>
              <w:jc w:val="left"/>
              <w:rPr>
                <w:rFonts w:eastAsiaTheme="majorEastAsia"/>
                <w:bCs/>
              </w:rPr>
            </w:pPr>
            <w:r>
              <w:t>Has a history of (noninfectious) ILD/pneumonitis that required steroids, has current ILD/pneumonitis, or where suspected ILD/pneumonitis cannot be ruled out by imaging at Screening.</w:t>
            </w:r>
          </w:p>
          <w:p w14:paraId="24322938" w14:textId="77777777" w:rsidR="00E901E1" w:rsidRPr="00385D5D" w:rsidRDefault="00E901E1" w:rsidP="00E901E1">
            <w:pPr>
              <w:pStyle w:val="ListNumber"/>
              <w:numPr>
                <w:ilvl w:val="0"/>
                <w:numId w:val="3"/>
              </w:numPr>
              <w:spacing w:before="60" w:after="60" w:line="240" w:lineRule="auto"/>
              <w:ind w:left="360"/>
              <w:contextualSpacing/>
              <w:jc w:val="left"/>
              <w:rPr>
                <w:rFonts w:eastAsiaTheme="majorEastAsia"/>
                <w:bCs/>
              </w:rPr>
            </w:pPr>
            <w:r>
              <w:t>Lung-specific intercurrent clinically relevant illnesses including, but not limited to, any underlying pulmonary disorder (eg, pulmonary emboli within 3 months of the study randomization, severe asthma, severe chronic obstructive pulmonary disease, restrictive lung disease, pleural effusion, etc).</w:t>
            </w:r>
          </w:p>
          <w:p w14:paraId="33641938" w14:textId="77777777" w:rsidR="00E901E1" w:rsidRPr="00385D5D" w:rsidRDefault="00E901E1" w:rsidP="00E901E1">
            <w:pPr>
              <w:pStyle w:val="ListNumber"/>
              <w:numPr>
                <w:ilvl w:val="0"/>
                <w:numId w:val="3"/>
              </w:numPr>
              <w:spacing w:before="60" w:after="60" w:line="240" w:lineRule="auto"/>
              <w:ind w:left="360"/>
              <w:contextualSpacing/>
              <w:jc w:val="left"/>
              <w:rPr>
                <w:rFonts w:eastAsiaTheme="majorEastAsia"/>
                <w:bCs/>
              </w:rPr>
            </w:pPr>
            <w:r>
              <w:t>Has a condition that requires chronic use of systemic (intravenous, intramuscular [IM], or oral) corticosteroids or other immunosuppressive medications except for managing AEs (inhaled steroids or intra-articular steroid injections are permitted in this study.) Subjects with bronchopulmonary disorders who require intermittent use of bronchodilators (such as albuterol) will not be excluded from this study.</w:t>
            </w:r>
          </w:p>
          <w:p w14:paraId="222844F3" w14:textId="77777777" w:rsidR="00E901E1" w:rsidRPr="00E57669" w:rsidRDefault="00E901E1" w:rsidP="00E901E1">
            <w:pPr>
              <w:pStyle w:val="ListNumber"/>
              <w:numPr>
                <w:ilvl w:val="0"/>
                <w:numId w:val="3"/>
              </w:numPr>
              <w:spacing w:before="60" w:after="60" w:line="240" w:lineRule="auto"/>
              <w:ind w:left="360"/>
              <w:contextualSpacing/>
              <w:jc w:val="left"/>
              <w:rPr>
                <w:rFonts w:eastAsiaTheme="majorEastAsia"/>
                <w:bCs/>
              </w:rPr>
            </w:pPr>
            <w:r>
              <w:t>Has multiple primary malignancies within 3 years, except adequately resected nonmelanoma skin cancer, curatively treated in situ disease, and other solid tumors curatively treated.</w:t>
            </w:r>
          </w:p>
          <w:p w14:paraId="7DE9DC51" w14:textId="77777777" w:rsidR="00E901E1" w:rsidRPr="00E57669" w:rsidRDefault="00E901E1" w:rsidP="00E901E1">
            <w:pPr>
              <w:pStyle w:val="ListNumber"/>
              <w:numPr>
                <w:ilvl w:val="0"/>
                <w:numId w:val="3"/>
              </w:numPr>
              <w:spacing w:before="60" w:after="60" w:line="240" w:lineRule="auto"/>
              <w:ind w:left="360"/>
              <w:contextualSpacing/>
              <w:jc w:val="left"/>
              <w:rPr>
                <w:rFonts w:eastAsiaTheme="majorEastAsia"/>
                <w:bCs/>
              </w:rPr>
            </w:pPr>
            <w:r>
              <w:t>Unresolved toxicities from previous anticancer therapy, defined as toxicities (other than alopecia) not yet resolved to NCI-Common Terminology Criteria for Adverse Events (CTCAE) Version 5.0, Grade ≤1 or baseline</w:t>
            </w:r>
          </w:p>
          <w:p w14:paraId="0FB5F88E" w14:textId="77777777" w:rsidR="00E901E1" w:rsidRPr="00E57669" w:rsidRDefault="00E901E1" w:rsidP="00E901E1">
            <w:pPr>
              <w:pStyle w:val="ListNumber"/>
              <w:numPr>
                <w:ilvl w:val="0"/>
                <w:numId w:val="3"/>
              </w:numPr>
              <w:spacing w:before="60" w:after="60" w:line="240" w:lineRule="auto"/>
              <w:ind w:left="360"/>
              <w:contextualSpacing/>
              <w:jc w:val="left"/>
              <w:rPr>
                <w:rFonts w:eastAsiaTheme="majorEastAsia"/>
                <w:bCs/>
              </w:rPr>
            </w:pPr>
            <w:r>
              <w:t>Has a history of severe hypersensitivity reactions to either the drug substances or inactive ingredients in the drug product.</w:t>
            </w:r>
          </w:p>
          <w:p w14:paraId="530D0D11" w14:textId="77777777" w:rsidR="00E901E1" w:rsidRPr="00A83F1D" w:rsidRDefault="00E901E1" w:rsidP="00E901E1">
            <w:pPr>
              <w:pStyle w:val="ListNumber"/>
              <w:numPr>
                <w:ilvl w:val="0"/>
                <w:numId w:val="3"/>
              </w:numPr>
              <w:spacing w:before="60" w:after="60" w:line="240" w:lineRule="auto"/>
              <w:ind w:left="360"/>
              <w:contextualSpacing/>
              <w:jc w:val="left"/>
              <w:rPr>
                <w:rFonts w:eastAsiaTheme="majorEastAsia"/>
                <w:bCs/>
              </w:rPr>
            </w:pPr>
            <w:r>
              <w:t>Has a history of severe hypersensitivity reactions to other monoclonal antibodies.</w:t>
            </w:r>
          </w:p>
          <w:p w14:paraId="36BB28D5" w14:textId="77777777" w:rsidR="00E901E1" w:rsidRPr="00A83F1D" w:rsidRDefault="00E901E1" w:rsidP="00E901E1">
            <w:pPr>
              <w:pStyle w:val="ListNumber"/>
              <w:numPr>
                <w:ilvl w:val="0"/>
                <w:numId w:val="3"/>
              </w:numPr>
              <w:spacing w:before="60" w:after="60" w:line="240" w:lineRule="auto"/>
              <w:ind w:left="360"/>
              <w:contextualSpacing/>
              <w:jc w:val="left"/>
              <w:rPr>
                <w:rFonts w:eastAsiaTheme="majorEastAsia"/>
                <w:bCs/>
              </w:rPr>
            </w:pPr>
            <w:r>
              <w:t>Has an uncontrolled infection requiring intravenous antibiotics, antivirals, or antifungals.</w:t>
            </w:r>
          </w:p>
          <w:p w14:paraId="451A3D2F" w14:textId="77777777" w:rsidR="00E901E1" w:rsidRPr="00B92098" w:rsidRDefault="00E901E1" w:rsidP="00E901E1">
            <w:pPr>
              <w:pStyle w:val="ListNumber"/>
              <w:numPr>
                <w:ilvl w:val="0"/>
                <w:numId w:val="3"/>
              </w:numPr>
              <w:spacing w:before="60" w:after="60" w:line="240" w:lineRule="auto"/>
              <w:ind w:left="360"/>
              <w:contextualSpacing/>
              <w:jc w:val="left"/>
              <w:rPr>
                <w:rFonts w:eastAsiaTheme="majorEastAsia"/>
                <w:bCs/>
              </w:rPr>
            </w:pPr>
            <w:r>
              <w:t xml:space="preserve">Substance abuse or medical conditions such as clinically significant cardiac, gastric, or pulmonary diseases or psychological conditions, that may, in the </w:t>
            </w:r>
            <w:r>
              <w:lastRenderedPageBreak/>
              <w:t>opinion of the investigator, interfere with the subject’s participation in the clinical study or evaluation of the clinical study results.</w:t>
            </w:r>
          </w:p>
          <w:p w14:paraId="1AAA0AB2" w14:textId="77777777" w:rsidR="00E901E1" w:rsidRPr="00B92098" w:rsidRDefault="00E901E1" w:rsidP="00E901E1">
            <w:pPr>
              <w:pStyle w:val="ListNumber"/>
              <w:numPr>
                <w:ilvl w:val="0"/>
                <w:numId w:val="3"/>
              </w:numPr>
              <w:spacing w:before="60" w:after="60" w:line="240" w:lineRule="auto"/>
              <w:ind w:left="360"/>
              <w:contextualSpacing/>
              <w:jc w:val="left"/>
              <w:rPr>
                <w:rFonts w:eastAsiaTheme="majorEastAsia"/>
                <w:bCs/>
              </w:rPr>
            </w:pPr>
            <w:r>
              <w:t>Active primary immunodeficiency, known uncontrolled active human immunodeficiency virus (HIV) infection, or active hepatitis B or C infection. Subjects positive for hepatitis C virus (HCV) antibody are eligible only if polymerase chain reaction is negative for HCV ribonucleic acid. Subjects should be tested for HIV prior to randomization if required by local regulations or institutional review board/ethics committee.</w:t>
            </w:r>
          </w:p>
          <w:p w14:paraId="0869013F" w14:textId="09D9C4E5" w:rsidR="00E901E1" w:rsidRPr="00490B71" w:rsidRDefault="00E901E1" w:rsidP="00E901E1">
            <w:pPr>
              <w:pStyle w:val="ListNumber"/>
              <w:numPr>
                <w:ilvl w:val="0"/>
                <w:numId w:val="3"/>
              </w:numPr>
              <w:spacing w:before="60" w:after="60" w:line="240" w:lineRule="auto"/>
              <w:ind w:left="360"/>
              <w:contextualSpacing/>
              <w:jc w:val="left"/>
              <w:rPr>
                <w:rFonts w:eastAsiaTheme="majorEastAsia"/>
                <w:bCs/>
              </w:rPr>
            </w:pPr>
            <w:r>
              <w:t>Has impairment of gastrointestinal (GI) function or GI disease that may significantly alter the absorption of  drugs (eg, ulcerative disease, uncontrolled nausea vomiting, diarrhea, malabsorption syndrome, or gastric resection).</w:t>
            </w:r>
          </w:p>
          <w:p w14:paraId="3F61724D" w14:textId="77777777" w:rsidR="00E901E1" w:rsidRPr="00490B71" w:rsidRDefault="00E901E1" w:rsidP="00E901E1">
            <w:pPr>
              <w:pStyle w:val="ListNumber"/>
              <w:numPr>
                <w:ilvl w:val="0"/>
                <w:numId w:val="3"/>
              </w:numPr>
              <w:spacing w:before="60" w:after="60" w:line="240" w:lineRule="auto"/>
              <w:ind w:left="360"/>
              <w:contextualSpacing/>
              <w:jc w:val="left"/>
              <w:rPr>
                <w:rFonts w:eastAsiaTheme="majorEastAsia"/>
                <w:bCs/>
              </w:rPr>
            </w:pPr>
            <w:r>
              <w:t>Is pregnant or breastfeeding or intends to become pregnant during the study.</w:t>
            </w:r>
          </w:p>
          <w:p w14:paraId="186AD874" w14:textId="77777777" w:rsidR="00E901E1" w:rsidRPr="00490B71" w:rsidRDefault="00E901E1" w:rsidP="00E901E1">
            <w:pPr>
              <w:pStyle w:val="ListNumber"/>
              <w:numPr>
                <w:ilvl w:val="0"/>
                <w:numId w:val="3"/>
              </w:numPr>
              <w:spacing w:before="60" w:after="60" w:line="240" w:lineRule="auto"/>
              <w:ind w:left="360"/>
              <w:contextualSpacing/>
              <w:jc w:val="left"/>
              <w:rPr>
                <w:rFonts w:eastAsiaTheme="majorEastAsia"/>
                <w:bCs/>
              </w:rPr>
            </w:pPr>
            <w:r>
              <w:t>Has psychological, social, familial, or geographical factors that would prevent regular follow-up.</w:t>
            </w:r>
          </w:p>
          <w:p w14:paraId="55FEA3DE" w14:textId="77777777" w:rsidR="00E901E1" w:rsidRPr="002A0610" w:rsidRDefault="00E901E1" w:rsidP="00E901E1">
            <w:pPr>
              <w:pStyle w:val="ListNumber"/>
              <w:numPr>
                <w:ilvl w:val="0"/>
                <w:numId w:val="3"/>
              </w:numPr>
              <w:spacing w:before="60" w:after="60" w:line="240" w:lineRule="auto"/>
              <w:ind w:left="360"/>
              <w:contextualSpacing/>
              <w:jc w:val="left"/>
              <w:rPr>
                <w:rFonts w:eastAsiaTheme="majorEastAsia"/>
                <w:bCs/>
              </w:rPr>
            </w:pPr>
            <w:r>
              <w:t>Has received live, attenuated vaccine (mRNA and replication-deficient adenoviral vaccines are not considered attenuated live vaccines) within 30 days prior to the first exposure to study drug.</w:t>
            </w:r>
          </w:p>
          <w:p w14:paraId="24E171AA" w14:textId="77777777" w:rsidR="00E901E1" w:rsidRPr="007C6C26" w:rsidRDefault="00E901E1" w:rsidP="00E901E1">
            <w:pPr>
              <w:pStyle w:val="ListNumber"/>
              <w:numPr>
                <w:ilvl w:val="0"/>
                <w:numId w:val="3"/>
              </w:numPr>
              <w:spacing w:before="60" w:after="60" w:line="240" w:lineRule="auto"/>
              <w:ind w:left="360"/>
              <w:contextualSpacing/>
              <w:jc w:val="left"/>
              <w:rPr>
                <w:rFonts w:eastAsiaTheme="majorEastAsia"/>
                <w:bCs/>
              </w:rPr>
            </w:pPr>
            <w:r>
              <w:t>Had a prior total pneumonectomy.</w:t>
            </w:r>
          </w:p>
          <w:p w14:paraId="578C7BE8" w14:textId="4204ECCF" w:rsidR="00E901E1" w:rsidRPr="00E901E1" w:rsidRDefault="00E901E1" w:rsidP="005215D4">
            <w:pPr>
              <w:pStyle w:val="ListNumber"/>
              <w:numPr>
                <w:ilvl w:val="0"/>
                <w:numId w:val="3"/>
              </w:numPr>
              <w:spacing w:before="60" w:after="60" w:line="240" w:lineRule="auto"/>
              <w:ind w:left="360"/>
              <w:contextualSpacing/>
              <w:jc w:val="left"/>
              <w:rPr>
                <w:rStyle w:val="Strong"/>
                <w:rFonts w:eastAsiaTheme="majorEastAsia"/>
                <w:b w:val="0"/>
              </w:rPr>
            </w:pPr>
            <w:r>
              <w:t>Subject must not be study site personnel or a Sponsor employee directly involved in the study or an immediate family member of someone directly involved in the study.</w:t>
            </w:r>
          </w:p>
        </w:tc>
      </w:tr>
      <w:tr w:rsidR="00E901E1" w14:paraId="34D508EC" w14:textId="77777777" w:rsidTr="005215D4">
        <w:trPr>
          <w:trHeight w:val="3131"/>
        </w:trPr>
        <w:tc>
          <w:tcPr>
            <w:tcW w:w="1795" w:type="dxa"/>
          </w:tcPr>
          <w:p w14:paraId="480F975D" w14:textId="77777777" w:rsidR="00E901E1" w:rsidRPr="00D752BC" w:rsidRDefault="00E901E1" w:rsidP="005215D4">
            <w:pPr>
              <w:pStyle w:val="TableLeft"/>
              <w:contextualSpacing/>
              <w:rPr>
                <w:rStyle w:val="Strong"/>
              </w:rPr>
            </w:pPr>
            <w:r>
              <w:rPr>
                <w:rStyle w:val="Strong"/>
              </w:rPr>
              <w:lastRenderedPageBreak/>
              <w:t>Criteria for Subjects from Treatment Arm A to Begin Treatment with CDK4/6i given in combination with ET</w:t>
            </w:r>
          </w:p>
        </w:tc>
        <w:tc>
          <w:tcPr>
            <w:tcW w:w="7495" w:type="dxa"/>
            <w:vAlign w:val="center"/>
          </w:tcPr>
          <w:p w14:paraId="2B017BBC" w14:textId="2B51D637" w:rsidR="00E901E1" w:rsidRDefault="00E901E1" w:rsidP="005215D4">
            <w:pPr>
              <w:pStyle w:val="ListNumber"/>
              <w:spacing w:before="60" w:after="60" w:line="240" w:lineRule="auto"/>
              <w:contextualSpacing/>
              <w:jc w:val="left"/>
            </w:pPr>
            <w:r>
              <w:t xml:space="preserve">Subjects will be eligible to continue onto CDK4/6i given in combination with ET following their last experimental monotherapy infusion if they meet all of the following criteria within 21 to 126 days of the last experimental monotherapy infusion: </w:t>
            </w:r>
          </w:p>
          <w:p w14:paraId="72F4961D" w14:textId="77777777" w:rsidR="00E901E1" w:rsidRDefault="00E901E1" w:rsidP="00E901E1">
            <w:pPr>
              <w:pStyle w:val="ListNumber"/>
              <w:numPr>
                <w:ilvl w:val="0"/>
                <w:numId w:val="9"/>
              </w:numPr>
              <w:spacing w:before="60" w:after="60" w:line="240" w:lineRule="auto"/>
              <w:contextualSpacing/>
              <w:jc w:val="left"/>
            </w:pPr>
            <w:r>
              <w:t xml:space="preserve">Pulmonologist consultation required for clearance of subjects who experienced Grade 1 or 2 ILD in the experimental monotherapy phase: </w:t>
            </w:r>
          </w:p>
          <w:p w14:paraId="2C2FC6EE" w14:textId="77777777" w:rsidR="00E901E1" w:rsidRDefault="00E901E1" w:rsidP="00E901E1">
            <w:pPr>
              <w:pStyle w:val="ListNumber"/>
              <w:numPr>
                <w:ilvl w:val="1"/>
                <w:numId w:val="9"/>
              </w:numPr>
              <w:spacing w:before="60" w:after="60" w:line="240" w:lineRule="auto"/>
              <w:contextualSpacing/>
              <w:jc w:val="left"/>
            </w:pPr>
            <w:r>
              <w:t xml:space="preserve">Recovered from Grade 1 ILD </w:t>
            </w:r>
          </w:p>
          <w:p w14:paraId="3FEF5D9F" w14:textId="77777777" w:rsidR="00E901E1" w:rsidRDefault="00E901E1" w:rsidP="00E901E1">
            <w:pPr>
              <w:pStyle w:val="ListNumber"/>
              <w:numPr>
                <w:ilvl w:val="1"/>
                <w:numId w:val="9"/>
              </w:numPr>
              <w:spacing w:before="60" w:after="60" w:line="240" w:lineRule="auto"/>
              <w:contextualSpacing/>
              <w:jc w:val="left"/>
            </w:pPr>
            <w:r>
              <w:t xml:space="preserve">Recovered from Grade 2 ILD (absence of signs and symptoms of ILD) </w:t>
            </w:r>
          </w:p>
          <w:p w14:paraId="5CE76956" w14:textId="77777777" w:rsidR="00E901E1" w:rsidRDefault="00E901E1" w:rsidP="00E901E1">
            <w:pPr>
              <w:pStyle w:val="ListNumber"/>
              <w:numPr>
                <w:ilvl w:val="0"/>
                <w:numId w:val="9"/>
              </w:numPr>
              <w:spacing w:before="60" w:after="60" w:line="240" w:lineRule="auto"/>
              <w:contextualSpacing/>
              <w:jc w:val="left"/>
            </w:pPr>
            <w:r>
              <w:t xml:space="preserve">Adequate organ and bone marrow function: </w:t>
            </w:r>
          </w:p>
          <w:p w14:paraId="34C0FA82" w14:textId="77777777" w:rsidR="00E901E1" w:rsidRDefault="00E901E1" w:rsidP="00E901E1">
            <w:pPr>
              <w:pStyle w:val="ListNumber"/>
              <w:numPr>
                <w:ilvl w:val="1"/>
                <w:numId w:val="9"/>
              </w:numPr>
              <w:spacing w:before="60" w:after="60" w:line="240" w:lineRule="auto"/>
              <w:contextualSpacing/>
              <w:jc w:val="left"/>
            </w:pPr>
            <w:r>
              <w:t xml:space="preserve">Hemoglobin ≥9 g/dL Note: Subjects requiring ongoing transfusions or growth factor support to maintain hemoglobin ≥9 g/dL are eligible; hemoglobin must be reassessed at least 14 days after the start of the supportive medication to show that counts are adequate. </w:t>
            </w:r>
          </w:p>
          <w:p w14:paraId="6A572723" w14:textId="77777777" w:rsidR="00E901E1" w:rsidRDefault="00E901E1" w:rsidP="00E901E1">
            <w:pPr>
              <w:pStyle w:val="ListNumber"/>
              <w:numPr>
                <w:ilvl w:val="1"/>
                <w:numId w:val="9"/>
              </w:numPr>
              <w:spacing w:before="60" w:after="60" w:line="240" w:lineRule="auto"/>
              <w:contextualSpacing/>
              <w:jc w:val="left"/>
            </w:pPr>
            <w:r>
              <w:t xml:space="preserve">Absolute neutrophil count ≥1500/mm3 Note: Subjects may be administered G-CSF; absolute neutrophil count must be reassessed at least 14 days after the start of G-CSF to show that counts are adequate. </w:t>
            </w:r>
          </w:p>
          <w:p w14:paraId="2C8568B8" w14:textId="77777777" w:rsidR="00E901E1" w:rsidRDefault="00E901E1" w:rsidP="00E901E1">
            <w:pPr>
              <w:pStyle w:val="ListNumber"/>
              <w:numPr>
                <w:ilvl w:val="1"/>
                <w:numId w:val="9"/>
              </w:numPr>
              <w:spacing w:before="60" w:after="60" w:line="240" w:lineRule="auto"/>
              <w:contextualSpacing/>
              <w:jc w:val="left"/>
            </w:pPr>
            <w:r>
              <w:t xml:space="preserve">Platelet count ≥100,000/mm3 Note: Subjects may have platelet transfusions; platelet count must be reassessed at least 14 days after transfusion to show that counts are adequate. </w:t>
            </w:r>
          </w:p>
          <w:p w14:paraId="150F301D" w14:textId="77777777" w:rsidR="00E901E1" w:rsidRDefault="00E901E1" w:rsidP="00E901E1">
            <w:pPr>
              <w:pStyle w:val="ListNumber"/>
              <w:numPr>
                <w:ilvl w:val="1"/>
                <w:numId w:val="9"/>
              </w:numPr>
              <w:spacing w:before="60" w:after="60" w:line="240" w:lineRule="auto"/>
              <w:contextualSpacing/>
              <w:jc w:val="left"/>
            </w:pPr>
            <w:r>
              <w:t>TBL ≤1.5 × ULN if no liver metastases or &lt;3 x ULN in the presence of documented Gilbert’s syndrome (unconjugated hyperbilirubinemia) or liver metastasis at Baseline.</w:t>
            </w:r>
          </w:p>
          <w:p w14:paraId="02B59724" w14:textId="77777777" w:rsidR="00E901E1" w:rsidRDefault="00E901E1" w:rsidP="00E901E1">
            <w:pPr>
              <w:pStyle w:val="ListNumber"/>
              <w:numPr>
                <w:ilvl w:val="1"/>
                <w:numId w:val="9"/>
              </w:numPr>
              <w:spacing w:before="60" w:after="60" w:line="240" w:lineRule="auto"/>
              <w:contextualSpacing/>
              <w:jc w:val="left"/>
            </w:pPr>
            <w:r>
              <w:t xml:space="preserve">ALT and AST </w:t>
            </w:r>
            <w:r w:rsidRPr="0081386D">
              <w:rPr>
                <w:u w:val="single"/>
              </w:rPr>
              <w:t>&lt;</w:t>
            </w:r>
            <w:r>
              <w:t>5 x ULN</w:t>
            </w:r>
          </w:p>
          <w:p w14:paraId="0B73E1F3" w14:textId="77777777" w:rsidR="00E901E1" w:rsidRDefault="00E901E1" w:rsidP="00E901E1">
            <w:pPr>
              <w:pStyle w:val="ListNumber"/>
              <w:numPr>
                <w:ilvl w:val="1"/>
                <w:numId w:val="9"/>
              </w:numPr>
              <w:spacing w:before="60" w:after="60" w:line="240" w:lineRule="auto"/>
              <w:contextualSpacing/>
              <w:jc w:val="left"/>
            </w:pPr>
            <w:r>
              <w:t xml:space="preserve">Serum albumin </w:t>
            </w:r>
            <w:r w:rsidRPr="0081386D">
              <w:rPr>
                <w:u w:val="single"/>
              </w:rPr>
              <w:t>&gt;</w:t>
            </w:r>
            <w:r>
              <w:t>2.5 g/dL</w:t>
            </w:r>
          </w:p>
          <w:p w14:paraId="77AFDEA6" w14:textId="77777777" w:rsidR="00E901E1" w:rsidRDefault="00E901E1" w:rsidP="00E901E1">
            <w:pPr>
              <w:pStyle w:val="ListNumber"/>
              <w:numPr>
                <w:ilvl w:val="1"/>
                <w:numId w:val="9"/>
              </w:numPr>
              <w:spacing w:before="60" w:after="60" w:line="240" w:lineRule="auto"/>
              <w:contextualSpacing/>
              <w:jc w:val="left"/>
            </w:pPr>
            <w:r>
              <w:lastRenderedPageBreak/>
              <w:t xml:space="preserve">Creatinine clearance </w:t>
            </w:r>
            <w:r w:rsidRPr="0081386D">
              <w:rPr>
                <w:u w:val="single"/>
              </w:rPr>
              <w:t>&gt;</w:t>
            </w:r>
            <w:r>
              <w:t>30 mL/min (as calculated using the Cockcroft and Gault equation)</w:t>
            </w:r>
          </w:p>
          <w:p w14:paraId="30FD800E" w14:textId="77777777" w:rsidR="00E901E1" w:rsidRDefault="00E901E1" w:rsidP="00E901E1">
            <w:pPr>
              <w:pStyle w:val="ListNumber"/>
              <w:numPr>
                <w:ilvl w:val="1"/>
                <w:numId w:val="9"/>
              </w:numPr>
              <w:spacing w:before="60" w:after="60" w:line="240" w:lineRule="auto"/>
              <w:contextualSpacing/>
              <w:jc w:val="left"/>
            </w:pPr>
            <w:r>
              <w:t xml:space="preserve">INR/aPTT </w:t>
            </w:r>
            <w:r w:rsidRPr="00DF754E">
              <w:rPr>
                <w:u w:val="single"/>
              </w:rPr>
              <w:t>&lt;</w:t>
            </w:r>
            <w:r>
              <w:t>1.5 x ULN</w:t>
            </w:r>
          </w:p>
          <w:p w14:paraId="08266A16" w14:textId="77777777" w:rsidR="00E901E1" w:rsidRDefault="00E901E1" w:rsidP="00E901E1">
            <w:pPr>
              <w:pStyle w:val="ListNumber"/>
              <w:numPr>
                <w:ilvl w:val="0"/>
                <w:numId w:val="9"/>
              </w:numPr>
              <w:spacing w:before="60" w:after="60" w:line="240" w:lineRule="auto"/>
              <w:contextualSpacing/>
              <w:jc w:val="left"/>
            </w:pPr>
            <w:r>
              <w:t>Adequate cardiac function:</w:t>
            </w:r>
          </w:p>
          <w:p w14:paraId="44C08F08" w14:textId="77777777" w:rsidR="00E901E1" w:rsidRDefault="00E901E1" w:rsidP="00E901E1">
            <w:pPr>
              <w:pStyle w:val="ListNumber"/>
              <w:numPr>
                <w:ilvl w:val="1"/>
                <w:numId w:val="9"/>
              </w:numPr>
              <w:spacing w:before="60" w:after="60" w:line="240" w:lineRule="auto"/>
              <w:contextualSpacing/>
              <w:jc w:val="left"/>
            </w:pPr>
            <w:r>
              <w:t xml:space="preserve">Has a corrected QTcF interval of ≤470 ms (females) or ≤450 ms (males) based on 12-lead ECG </w:t>
            </w:r>
          </w:p>
          <w:p w14:paraId="2A3BF2DC" w14:textId="77777777" w:rsidR="00E901E1" w:rsidRDefault="00E901E1" w:rsidP="00E901E1">
            <w:pPr>
              <w:pStyle w:val="ListNumber"/>
              <w:numPr>
                <w:ilvl w:val="1"/>
                <w:numId w:val="9"/>
              </w:numPr>
              <w:spacing w:before="60" w:after="60" w:line="240" w:lineRule="auto"/>
              <w:contextualSpacing/>
              <w:jc w:val="left"/>
            </w:pPr>
            <w:r>
              <w:t>Decrease in LVEF &gt;50% (absolute value), but LVEF &gt;45% or LVEF 40% to ≤45% and decrease is &lt;10% (absolute value) from baseline.</w:t>
            </w:r>
          </w:p>
          <w:p w14:paraId="58E0AA4D" w14:textId="5A02981A" w:rsidR="00E901E1" w:rsidRDefault="00E901E1" w:rsidP="00E901E1">
            <w:pPr>
              <w:pStyle w:val="ListNumber"/>
              <w:numPr>
                <w:ilvl w:val="0"/>
                <w:numId w:val="9"/>
              </w:numPr>
              <w:spacing w:before="60" w:after="60" w:line="240" w:lineRule="auto"/>
              <w:contextualSpacing/>
              <w:jc w:val="left"/>
            </w:pPr>
            <w:r>
              <w:t>Except for the above, subjects recovering from a toxicity following the last dose of experimental monotherapy need to recover to Grade 1 (except for alopecia, fatigue, and peripheral neuropathy) before starting TPC.</w:t>
            </w:r>
          </w:p>
          <w:p w14:paraId="3DF237A5" w14:textId="77777777" w:rsidR="00E901E1" w:rsidRDefault="00E901E1" w:rsidP="00E901E1">
            <w:pPr>
              <w:pStyle w:val="ListNumber"/>
              <w:numPr>
                <w:ilvl w:val="0"/>
                <w:numId w:val="9"/>
              </w:numPr>
              <w:spacing w:before="60" w:after="60" w:line="240" w:lineRule="auto"/>
              <w:contextualSpacing/>
              <w:jc w:val="left"/>
            </w:pPr>
            <w:r>
              <w:t>Female subjects of reproductive/childbearing potential must agree to use ovarian suppression therapy in accordance with the CDK4/6i + ET label approved in the country of drug administration.</w:t>
            </w:r>
          </w:p>
          <w:p w14:paraId="104D8F75" w14:textId="77777777" w:rsidR="00E901E1" w:rsidRDefault="00E901E1" w:rsidP="00E901E1">
            <w:pPr>
              <w:pStyle w:val="ListNumber"/>
              <w:numPr>
                <w:ilvl w:val="0"/>
                <w:numId w:val="9"/>
              </w:numPr>
              <w:spacing w:before="60" w:after="60" w:line="240" w:lineRule="auto"/>
              <w:contextualSpacing/>
              <w:jc w:val="left"/>
            </w:pPr>
            <w:r>
              <w:t>Confirmed continued benefit, per RECIST v1.1.</w:t>
            </w:r>
          </w:p>
          <w:p w14:paraId="0A853F2B" w14:textId="77777777" w:rsidR="00E901E1" w:rsidRDefault="00E901E1" w:rsidP="00E901E1">
            <w:pPr>
              <w:pStyle w:val="ListNumber"/>
              <w:numPr>
                <w:ilvl w:val="0"/>
                <w:numId w:val="9"/>
              </w:numPr>
              <w:spacing w:before="60" w:after="60" w:line="240" w:lineRule="auto"/>
              <w:contextualSpacing/>
              <w:jc w:val="left"/>
            </w:pPr>
            <w:r>
              <w:t>Subject has not taken any prohibited concomitant medications since the last dose of the experimental treatment.</w:t>
            </w:r>
          </w:p>
        </w:tc>
      </w:tr>
    </w:tbl>
    <w:p w14:paraId="652C5B67" w14:textId="77777777" w:rsidR="00E901E1" w:rsidRDefault="00E901E1" w:rsidP="00E901E1">
      <w:pPr>
        <w:pStyle w:val="BodyText"/>
        <w:contextualSpacing/>
        <w:rPr>
          <w:rStyle w:val="Strong"/>
          <w:rFonts w:eastAsiaTheme="majorEastAsia"/>
        </w:rPr>
      </w:pPr>
    </w:p>
    <w:sectPr w:rsidR="00E901E1">
      <w:headerReference w:type="default" r:id="rId7"/>
      <w:headerReference w:type="firs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2B0E12" w14:textId="77777777" w:rsidR="00E901E1" w:rsidRDefault="00E901E1" w:rsidP="00E901E1">
      <w:pPr>
        <w:spacing w:after="0" w:line="240" w:lineRule="auto"/>
      </w:pPr>
      <w:r>
        <w:separator/>
      </w:r>
    </w:p>
  </w:endnote>
  <w:endnote w:type="continuationSeparator" w:id="0">
    <w:p w14:paraId="089110D6" w14:textId="77777777" w:rsidR="00E901E1" w:rsidRDefault="00E901E1" w:rsidP="00E901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neva">
    <w:altName w:val="Arial"/>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02B29" w14:textId="77777777" w:rsidR="00B1482E" w:rsidRDefault="00E901E1" w:rsidP="00C35CA4">
    <w:pPr>
      <w:pStyle w:val="FooterPageNumber"/>
    </w:pPr>
    <w:r w:rsidRPr="00CE1EE9">
      <w:fldChar w:fldCharType="begin"/>
    </w:r>
    <w:r w:rsidRPr="00CE1EE9">
      <w:instrText xml:space="preserve"> PAGE   \* MERGEFORMAT </w:instrText>
    </w:r>
    <w:r w:rsidRPr="00CE1EE9">
      <w:fldChar w:fldCharType="separate"/>
    </w:r>
    <w:r>
      <w:rPr>
        <w:noProof/>
      </w:rPr>
      <w:t>1</w:t>
    </w:r>
    <w:r w:rsidRPr="00CE1EE9">
      <w:rPr>
        <w:noProof/>
      </w:rPr>
      <w:fldChar w:fldCharType="end"/>
    </w:r>
  </w:p>
  <w:p w14:paraId="36448874" w14:textId="77777777" w:rsidR="00B1482E" w:rsidRDefault="00E901E1" w:rsidP="00C35CA4">
    <w:pPr>
      <w:pStyle w:val="Footer"/>
    </w:pPr>
    <w:r w:rsidRPr="003223E8">
      <w:t xml:space="preserve">&lt;&lt;Customer | Project/Proposal Name | CRM Code | </w:t>
    </w:r>
    <w:r>
      <w:t>Date</w:t>
    </w:r>
    <w:r w:rsidRPr="003223E8">
      <w:t>&gt;&gt;</w:t>
    </w:r>
    <w:r w:rsidRPr="003223E8">
      <w:br/>
      <w:t xml:space="preserve">Copyright © 2017 </w:t>
    </w:r>
    <w:r>
      <w:t xml:space="preserve">IQVIA. All Rights Reserved. </w:t>
    </w:r>
    <w:r w:rsidRPr="003223E8">
      <w:t>Confidential and Proprietary</w:t>
    </w:r>
    <w:r>
      <w:t>.</w:t>
    </w:r>
  </w:p>
  <w:p w14:paraId="7E33ABB2" w14:textId="77777777" w:rsidR="00B1482E" w:rsidRDefault="00E901E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774492" w14:textId="77777777" w:rsidR="00E901E1" w:rsidRDefault="00E901E1" w:rsidP="00E901E1">
      <w:pPr>
        <w:spacing w:after="0" w:line="240" w:lineRule="auto"/>
      </w:pPr>
      <w:r>
        <w:separator/>
      </w:r>
    </w:p>
  </w:footnote>
  <w:footnote w:type="continuationSeparator" w:id="0">
    <w:p w14:paraId="235F6478" w14:textId="77777777" w:rsidR="00E901E1" w:rsidRDefault="00E901E1" w:rsidP="00E901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FEA4C" w14:textId="77777777" w:rsidR="00B1482E" w:rsidRDefault="00E901E1" w:rsidP="001C2641">
    <w:pPr>
      <w:pStyle w:val="Header"/>
      <w:jc w:val="right"/>
    </w:pPr>
    <w:r w:rsidRPr="00A670FE">
      <w:rPr>
        <w:noProof/>
      </w:rPr>
      <w:drawing>
        <wp:anchor distT="0" distB="0" distL="114300" distR="114300" simplePos="0" relativeHeight="251659264" behindDoc="1" locked="0" layoutInCell="1" allowOverlap="1" wp14:anchorId="2A0A36C3" wp14:editId="64E3AC42">
          <wp:simplePos x="0" y="0"/>
          <wp:positionH relativeFrom="margin">
            <wp:align>right</wp:align>
          </wp:positionH>
          <wp:positionV relativeFrom="page">
            <wp:posOffset>290088</wp:posOffset>
          </wp:positionV>
          <wp:extent cx="1638935" cy="386080"/>
          <wp:effectExtent l="0" t="0" r="0" b="0"/>
          <wp:wrapNone/>
          <wp:docPr id="1" name="Picture 1" descr="cid:image002.png@01D58820.A8086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2.png@01D58820.A80860B0"/>
                  <pic:cNvPicPr>
                    <a:picLocks noChangeAspect="1" noChangeArrowheads="1"/>
                  </pic:cNvPicPr>
                </pic:nvPicPr>
                <pic:blipFill>
                  <a:blip r:embed="rId1">
                    <a:extLst>
                      <a:ext uri="{28A0092B-C50C-407E-A947-70E740481C1C}">
                        <a14:useLocalDpi xmlns:a14="http://schemas.microsoft.com/office/drawing/2010/main" val="0"/>
                      </a:ext>
                    </a:extLst>
                  </a:blip>
                  <a:srcRect t="23383" b="24159"/>
                  <a:stretch>
                    <a:fillRect/>
                  </a:stretch>
                </pic:blipFill>
                <pic:spPr bwMode="auto">
                  <a:xfrm>
                    <a:off x="0" y="0"/>
                    <a:ext cx="1638935" cy="386080"/>
                  </a:xfrm>
                  <a:prstGeom prst="rect">
                    <a:avLst/>
                  </a:prstGeom>
                  <a:noFill/>
                  <a:ln>
                    <a:noFill/>
                  </a:ln>
                </pic:spPr>
              </pic:pic>
            </a:graphicData>
          </a:graphic>
        </wp:anchor>
      </w:drawing>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8D3EC" w14:textId="77777777" w:rsidR="00B1482E" w:rsidRDefault="00E901E1" w:rsidP="00AE1E87">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0409000F"/>
    <w:lvl w:ilvl="0">
      <w:start w:val="1"/>
      <w:numFmt w:val="decimal"/>
      <w:lvlText w:val="%1."/>
      <w:lvlJc w:val="left"/>
      <w:pPr>
        <w:ind w:left="720" w:hanging="360"/>
      </w:pPr>
      <w:rPr>
        <w:b w:val="0"/>
      </w:rPr>
    </w:lvl>
  </w:abstractNum>
  <w:abstractNum w:abstractNumId="1" w15:restartNumberingAfterBreak="0">
    <w:nsid w:val="118C5497"/>
    <w:multiLevelType w:val="hybridMultilevel"/>
    <w:tmpl w:val="E2789B6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4460F5"/>
    <w:multiLevelType w:val="hybridMultilevel"/>
    <w:tmpl w:val="861E9B66"/>
    <w:lvl w:ilvl="0" w:tplc="0136EE28">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357286"/>
    <w:multiLevelType w:val="hybridMultilevel"/>
    <w:tmpl w:val="B4D28230"/>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975E8B"/>
    <w:multiLevelType w:val="hybridMultilevel"/>
    <w:tmpl w:val="70029DE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A43AAC"/>
    <w:multiLevelType w:val="hybridMultilevel"/>
    <w:tmpl w:val="1FC2C8B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CF580F"/>
    <w:multiLevelType w:val="hybridMultilevel"/>
    <w:tmpl w:val="F95A7B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DAB32F4"/>
    <w:multiLevelType w:val="hybridMultilevel"/>
    <w:tmpl w:val="D4A08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7871446">
    <w:abstractNumId w:val="0"/>
  </w:num>
  <w:num w:numId="2" w16cid:durableId="211499514">
    <w:abstractNumId w:val="2"/>
  </w:num>
  <w:num w:numId="3" w16cid:durableId="665397597">
    <w:abstractNumId w:val="0"/>
    <w:lvlOverride w:ilvl="0">
      <w:startOverride w:val="1"/>
    </w:lvlOverride>
  </w:num>
  <w:num w:numId="4" w16cid:durableId="1694724172">
    <w:abstractNumId w:val="7"/>
  </w:num>
  <w:num w:numId="5" w16cid:durableId="1632518972">
    <w:abstractNumId w:val="3"/>
  </w:num>
  <w:num w:numId="6" w16cid:durableId="170612556">
    <w:abstractNumId w:val="1"/>
  </w:num>
  <w:num w:numId="7" w16cid:durableId="1333725584">
    <w:abstractNumId w:val="5"/>
  </w:num>
  <w:num w:numId="8" w16cid:durableId="293214833">
    <w:abstractNumId w:val="4"/>
  </w:num>
  <w:num w:numId="9" w16cid:durableId="7014423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7D8"/>
    <w:rsid w:val="002A6E80"/>
    <w:rsid w:val="00D04CE1"/>
    <w:rsid w:val="00D95102"/>
    <w:rsid w:val="00E901E1"/>
    <w:rsid w:val="00F937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FD98A"/>
  <w15:chartTrackingRefBased/>
  <w15:docId w15:val="{0F428CC4-8228-437F-9462-1A4038995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901E1"/>
    <w:pPr>
      <w:spacing w:after="120" w:line="300" w:lineRule="exact"/>
    </w:pPr>
    <w:rPr>
      <w:rFonts w:ascii="Arial" w:eastAsia="Times New Roman" w:hAnsi="Arial" w:cs="Times New Roman"/>
      <w:color w:val="2B3A42"/>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901E1"/>
  </w:style>
  <w:style w:type="character" w:customStyle="1" w:styleId="BodyTextChar">
    <w:name w:val="Body Text Char"/>
    <w:basedOn w:val="DefaultParagraphFont"/>
    <w:link w:val="BodyText"/>
    <w:rsid w:val="00E901E1"/>
    <w:rPr>
      <w:rFonts w:ascii="Arial" w:eastAsia="Times New Roman" w:hAnsi="Arial" w:cs="Times New Roman"/>
      <w:color w:val="2B3A42"/>
      <w:sz w:val="20"/>
      <w:szCs w:val="24"/>
    </w:rPr>
  </w:style>
  <w:style w:type="paragraph" w:styleId="Footer">
    <w:name w:val="footer"/>
    <w:basedOn w:val="Normal"/>
    <w:link w:val="FooterChar"/>
    <w:uiPriority w:val="99"/>
    <w:unhideWhenUsed/>
    <w:rsid w:val="00E901E1"/>
    <w:pPr>
      <w:shd w:val="clear" w:color="auto" w:fill="FFFFFF"/>
      <w:spacing w:after="0" w:line="300" w:lineRule="auto"/>
      <w:jc w:val="right"/>
    </w:pPr>
    <w:rPr>
      <w:rFonts w:cs="Arial"/>
      <w:color w:val="3F5765"/>
      <w:sz w:val="18"/>
      <w:szCs w:val="18"/>
    </w:rPr>
  </w:style>
  <w:style w:type="character" w:customStyle="1" w:styleId="FooterChar">
    <w:name w:val="Footer Char"/>
    <w:basedOn w:val="DefaultParagraphFont"/>
    <w:link w:val="Footer"/>
    <w:uiPriority w:val="99"/>
    <w:rsid w:val="00E901E1"/>
    <w:rPr>
      <w:rFonts w:ascii="Arial" w:eastAsia="Times New Roman" w:hAnsi="Arial" w:cs="Arial"/>
      <w:color w:val="3F5765"/>
      <w:sz w:val="18"/>
      <w:szCs w:val="18"/>
      <w:shd w:val="clear" w:color="auto" w:fill="FFFFFF"/>
    </w:rPr>
  </w:style>
  <w:style w:type="paragraph" w:styleId="ListBullet">
    <w:name w:val="List Bullet"/>
    <w:basedOn w:val="BodyText"/>
    <w:qFormat/>
    <w:rsid w:val="00E901E1"/>
    <w:pPr>
      <w:numPr>
        <w:numId w:val="2"/>
      </w:numPr>
      <w:spacing w:after="60"/>
      <w:ind w:left="360"/>
    </w:pPr>
  </w:style>
  <w:style w:type="character" w:styleId="Strong">
    <w:name w:val="Strong"/>
    <w:basedOn w:val="DefaultParagraphFont"/>
    <w:uiPriority w:val="22"/>
    <w:qFormat/>
    <w:rsid w:val="00E901E1"/>
    <w:rPr>
      <w:b/>
      <w:bCs/>
    </w:rPr>
  </w:style>
  <w:style w:type="paragraph" w:styleId="ListNumber">
    <w:name w:val="List Number"/>
    <w:basedOn w:val="BodyText"/>
    <w:rsid w:val="00E901E1"/>
    <w:pPr>
      <w:spacing w:line="280" w:lineRule="exact"/>
      <w:jc w:val="both"/>
    </w:pPr>
    <w:rPr>
      <w:color w:val="2D3A42"/>
    </w:rPr>
  </w:style>
  <w:style w:type="paragraph" w:customStyle="1" w:styleId="TableLeft">
    <w:name w:val="Table Left"/>
    <w:basedOn w:val="Normal"/>
    <w:link w:val="TableLeftChar"/>
    <w:qFormat/>
    <w:rsid w:val="00E901E1"/>
    <w:pPr>
      <w:spacing w:before="60" w:after="60" w:line="240" w:lineRule="auto"/>
    </w:pPr>
    <w:rPr>
      <w:lang w:val="en-GB"/>
    </w:rPr>
  </w:style>
  <w:style w:type="table" w:styleId="TableGrid">
    <w:name w:val="Table Grid"/>
    <w:basedOn w:val="TableNormal"/>
    <w:uiPriority w:val="59"/>
    <w:rsid w:val="00E901E1"/>
    <w:pPr>
      <w:spacing w:after="0" w:line="240" w:lineRule="auto"/>
    </w:pPr>
    <w:rPr>
      <w:rFonts w:ascii="Arial" w:eastAsia="Times New Roman" w:hAnsi="Arial" w:cs="Geneva"/>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rPr>
        <w:color w:val="44546A" w:themeColor="text2"/>
      </w:rPr>
    </w:tblStylePr>
  </w:style>
  <w:style w:type="character" w:customStyle="1" w:styleId="TableLeftChar">
    <w:name w:val="Table Left Char"/>
    <w:basedOn w:val="DefaultParagraphFont"/>
    <w:link w:val="TableLeft"/>
    <w:rsid w:val="00E901E1"/>
    <w:rPr>
      <w:rFonts w:ascii="Arial" w:eastAsia="Times New Roman" w:hAnsi="Arial" w:cs="Times New Roman"/>
      <w:color w:val="2B3A42"/>
      <w:sz w:val="20"/>
      <w:szCs w:val="24"/>
      <w:lang w:val="en-GB"/>
    </w:rPr>
  </w:style>
  <w:style w:type="paragraph" w:customStyle="1" w:styleId="FooterPageNumber">
    <w:name w:val="Footer Page Number"/>
    <w:basedOn w:val="Normal"/>
    <w:link w:val="FooterPageNumberChar"/>
    <w:rsid w:val="00E901E1"/>
    <w:pPr>
      <w:pBdr>
        <w:top w:val="single" w:sz="6" w:space="6" w:color="00A3E0"/>
      </w:pBdr>
      <w:spacing w:before="240" w:after="0" w:line="240" w:lineRule="auto"/>
      <w:jc w:val="right"/>
    </w:pPr>
    <w:rPr>
      <w:color w:val="00A3E0"/>
    </w:rPr>
  </w:style>
  <w:style w:type="character" w:customStyle="1" w:styleId="FooterPageNumberChar">
    <w:name w:val="Footer Page Number Char"/>
    <w:basedOn w:val="DefaultParagraphFont"/>
    <w:link w:val="FooterPageNumber"/>
    <w:rsid w:val="00E901E1"/>
    <w:rPr>
      <w:rFonts w:ascii="Arial" w:eastAsia="Times New Roman" w:hAnsi="Arial" w:cs="Times New Roman"/>
      <w:color w:val="00A3E0"/>
      <w:sz w:val="20"/>
      <w:szCs w:val="24"/>
    </w:rPr>
  </w:style>
  <w:style w:type="paragraph" w:styleId="Header">
    <w:name w:val="header"/>
    <w:aliases w:val="Page Header,enter name here,En-tête1,En-tete,DO NOT USE, DO NOT USE"/>
    <w:basedOn w:val="Normal"/>
    <w:link w:val="HeaderChar"/>
    <w:unhideWhenUsed/>
    <w:rsid w:val="00E901E1"/>
    <w:pPr>
      <w:tabs>
        <w:tab w:val="center" w:pos="4680"/>
        <w:tab w:val="right" w:pos="9360"/>
      </w:tabs>
    </w:pPr>
  </w:style>
  <w:style w:type="character" w:customStyle="1" w:styleId="HeaderChar">
    <w:name w:val="Header Char"/>
    <w:aliases w:val="Page Header Char,enter name here Char,En-tête1 Char,En-tete Char,DO NOT USE Char, DO NOT USE Char"/>
    <w:basedOn w:val="DefaultParagraphFont"/>
    <w:link w:val="Header"/>
    <w:rsid w:val="00E901E1"/>
    <w:rPr>
      <w:rFonts w:ascii="Arial" w:eastAsia="Times New Roman" w:hAnsi="Arial" w:cs="Times New Roman"/>
      <w:color w:val="2B3A42"/>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C7EBE0F367398488595B38ED5D38C0C" ma:contentTypeVersion="15" ma:contentTypeDescription="Create a new document." ma:contentTypeScope="" ma:versionID="0870f875353950d3d8ed846eedfd4667">
  <xsd:schema xmlns:xsd="http://www.w3.org/2001/XMLSchema" xmlns:xs="http://www.w3.org/2001/XMLSchema" xmlns:p="http://schemas.microsoft.com/office/2006/metadata/properties" xmlns:ns2="0c1a6a7d-1564-4c3d-bc73-2eb77e2d747b" xmlns:ns3="9fce3805-903f-47ba-b8d2-81977dc2ffc6" targetNamespace="http://schemas.microsoft.com/office/2006/metadata/properties" ma:root="true" ma:fieldsID="66a02294afdcccfafd40cb7b4687ad39" ns2:_="" ns3:_="">
    <xsd:import namespace="0c1a6a7d-1564-4c3d-bc73-2eb77e2d747b"/>
    <xsd:import namespace="9fce3805-903f-47ba-b8d2-81977dc2ffc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ocTag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1a6a7d-1564-4c3d-bc73-2eb77e2d74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ocTags" ma:index="12" nillable="true" ma:displayName="MediaServiceDocTags" ma:hidden="true" ma:internalName="MediaServiceDocTags" ma:readOnly="true">
      <xsd:simpleType>
        <xsd:restriction base="dms:Note"/>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b68784c8-5187-4d12-af89-ac967a81122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ce3805-903f-47ba-b8d2-81977dc2ffc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6041dd84-531a-475a-944f-d5c6ea4841b3}" ma:internalName="TaxCatchAll" ma:showField="CatchAllData" ma:web="9fce3805-903f-47ba-b8d2-81977dc2ffc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c1a6a7d-1564-4c3d-bc73-2eb77e2d747b">
      <Terms xmlns="http://schemas.microsoft.com/office/infopath/2007/PartnerControls"/>
    </lcf76f155ced4ddcb4097134ff3c332f>
    <TaxCatchAll xmlns="9fce3805-903f-47ba-b8d2-81977dc2ffc6" xsi:nil="true"/>
  </documentManagement>
</p:properties>
</file>

<file path=customXml/itemProps1.xml><?xml version="1.0" encoding="utf-8"?>
<ds:datastoreItem xmlns:ds="http://schemas.openxmlformats.org/officeDocument/2006/customXml" ds:itemID="{29AB22A3-6883-4599-A2ED-98BA51B3883C}"/>
</file>

<file path=customXml/itemProps2.xml><?xml version="1.0" encoding="utf-8"?>
<ds:datastoreItem xmlns:ds="http://schemas.openxmlformats.org/officeDocument/2006/customXml" ds:itemID="{B30DCE09-6A55-4DC9-B490-0A0F5057FD92}"/>
</file>

<file path=customXml/itemProps3.xml><?xml version="1.0" encoding="utf-8"?>
<ds:datastoreItem xmlns:ds="http://schemas.openxmlformats.org/officeDocument/2006/customXml" ds:itemID="{68B64C2B-73EB-429B-9035-A29DE64B4DF7}"/>
</file>

<file path=docProps/app.xml><?xml version="1.0" encoding="utf-8"?>
<Properties xmlns="http://schemas.openxmlformats.org/officeDocument/2006/extended-properties" xmlns:vt="http://schemas.openxmlformats.org/officeDocument/2006/docPropsVTypes">
  <Template>Normal.dotm</Template>
  <TotalTime>3</TotalTime>
  <Pages>4</Pages>
  <Words>1871</Words>
  <Characters>10668</Characters>
  <Application>Microsoft Office Word</Application>
  <DocSecurity>0</DocSecurity>
  <Lines>88</Lines>
  <Paragraphs>25</Paragraphs>
  <ScaleCrop>false</ScaleCrop>
  <Company/>
  <LinksUpToDate>false</LinksUpToDate>
  <CharactersWithSpaces>12514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Neftelinov, Svetoslav</dc:creator>
  <cp:keywords/>
  <dc:description/>
  <cp:lastModifiedBy>Neftelinov, Svetoslav</cp:lastModifiedBy>
  <cp:revision>2</cp:revision>
  <dcterms:created xsi:type="dcterms:W3CDTF">2023-10-31T17:45:00Z</dcterms:created>
  <dcterms:modified xsi:type="dcterms:W3CDTF">2023-10-31T17:49:00Z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0x0101001C7EBE0F367398488595B38ED5D38C0C</vt:lpwstr>
  </property>
</Properties>
</file>