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C5C98" w14:textId="77777777" w:rsidR="00CB1488" w:rsidRPr="0036209A" w:rsidRDefault="00CB1488" w:rsidP="00CB1488">
      <w:pPr>
        <w:pStyle w:val="BodyText"/>
        <w:contextualSpacing/>
        <w:jc w:val="center"/>
        <w:rPr>
          <w:rStyle w:val="Strong"/>
          <w:rFonts w:asciiTheme="minorHAnsi" w:eastAsiaTheme="majorEastAsia" w:hAnsiTheme="minorHAnsi" w:cstheme="minorHAnsi"/>
          <w:color w:val="000000" w:themeColor="text1"/>
          <w:szCs w:val="20"/>
        </w:rPr>
      </w:pPr>
      <w:r w:rsidRPr="0036209A">
        <w:rPr>
          <w:rStyle w:val="Strong"/>
          <w:rFonts w:asciiTheme="minorHAnsi" w:eastAsiaTheme="majorEastAsia" w:hAnsiTheme="minorHAnsi" w:cstheme="minorHAnsi"/>
          <w:color w:val="000000" w:themeColor="text1"/>
          <w:szCs w:val="20"/>
        </w:rPr>
        <w:t>STUDY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5"/>
        <w:gridCol w:w="7345"/>
      </w:tblGrid>
      <w:tr w:rsidR="00CB1488" w:rsidRPr="0036209A" w14:paraId="248E654F" w14:textId="77777777" w:rsidTr="00781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05" w:type="dxa"/>
          </w:tcPr>
          <w:p w14:paraId="71F90C9B" w14:textId="77777777" w:rsidR="00CB1488" w:rsidRPr="0036209A" w:rsidRDefault="00CB1488" w:rsidP="0078119A">
            <w:pPr>
              <w:pStyle w:val="TableLeft"/>
              <w:contextualSpacing/>
              <w:rPr>
                <w:rStyle w:val="Strong"/>
                <w:rFonts w:asciiTheme="minorHAnsi" w:eastAsiaTheme="majorEastAsia" w:hAnsiTheme="minorHAnsi" w:cstheme="minorHAnsi"/>
                <w:color w:val="000000" w:themeColor="text1"/>
                <w:szCs w:val="20"/>
              </w:rPr>
            </w:pPr>
            <w:bookmarkStart w:id="0" w:name="_Hlk97273701"/>
            <w:r w:rsidRPr="0036209A">
              <w:rPr>
                <w:rStyle w:val="Strong"/>
                <w:rFonts w:asciiTheme="minorHAnsi" w:eastAsiaTheme="majorEastAsia" w:hAnsiTheme="minorHAnsi" w:cstheme="minorHAnsi"/>
                <w:color w:val="000000" w:themeColor="text1"/>
                <w:szCs w:val="20"/>
              </w:rPr>
              <w:t xml:space="preserve">Study Title: </w:t>
            </w:r>
          </w:p>
        </w:tc>
        <w:tc>
          <w:tcPr>
            <w:tcW w:w="7345" w:type="dxa"/>
            <w:vAlign w:val="center"/>
          </w:tcPr>
          <w:p w14:paraId="7A658AE5" w14:textId="77777777" w:rsidR="00CB1488" w:rsidRPr="00683445" w:rsidRDefault="00CB1488" w:rsidP="0078119A">
            <w:pPr>
              <w:spacing w:before="60" w:after="60" w:line="240" w:lineRule="auto"/>
              <w:contextualSpacing/>
              <w:rPr>
                <w:rFonts w:ascii="Helvetica" w:hAnsi="Helvetica"/>
                <w:color w:val="000000" w:themeColor="text1"/>
                <w:shd w:val="clear" w:color="auto" w:fill="FFFFFF"/>
              </w:rPr>
            </w:pPr>
            <w:r w:rsidRPr="009437D5">
              <w:rPr>
                <w:rStyle w:val="Strong"/>
                <w:rFonts w:ascii="Helvetica" w:hAnsi="Helvetica"/>
                <w:color w:val="000000" w:themeColor="text1"/>
                <w:shd w:val="clear" w:color="auto" w:fill="FFFFFF"/>
              </w:rPr>
              <w:t>A Randomized, Controlled, Double-blind, Multicenter Phase 3 Clinical Study of IPX plus Platinum-based Doublet Chemotherapy versus Placebo plus Platinum-based Doublet Chemotherapy as Neoadjuvant/Adjuvant Therapy in Patients with Resectable Stage III Non-small Cell Lung Cancer</w:t>
            </w:r>
          </w:p>
        </w:tc>
      </w:tr>
      <w:tr w:rsidR="00CB1488" w:rsidRPr="0036209A" w14:paraId="3196E858" w14:textId="77777777" w:rsidTr="0078119A">
        <w:tc>
          <w:tcPr>
            <w:tcW w:w="2005" w:type="dxa"/>
          </w:tcPr>
          <w:p w14:paraId="05D153C1" w14:textId="77777777" w:rsidR="00CB1488" w:rsidRPr="0036209A" w:rsidRDefault="00CB1488" w:rsidP="0078119A">
            <w:pPr>
              <w:pStyle w:val="TableLeft"/>
              <w:contextualSpacing/>
              <w:rPr>
                <w:rStyle w:val="Strong"/>
                <w:rFonts w:asciiTheme="minorHAnsi" w:eastAsiaTheme="majorEastAsia" w:hAnsiTheme="minorHAnsi" w:cstheme="minorHAnsi"/>
                <w:color w:val="000000" w:themeColor="text1"/>
                <w:szCs w:val="20"/>
              </w:rPr>
            </w:pPr>
            <w:r w:rsidRPr="0036209A">
              <w:rPr>
                <w:rStyle w:val="Strong"/>
                <w:rFonts w:asciiTheme="minorHAnsi" w:hAnsiTheme="minorHAnsi" w:cstheme="minorHAnsi"/>
                <w:color w:val="000000" w:themeColor="text1"/>
                <w:szCs w:val="20"/>
              </w:rPr>
              <w:t>Number of Patients:</w:t>
            </w:r>
          </w:p>
        </w:tc>
        <w:tc>
          <w:tcPr>
            <w:tcW w:w="7345" w:type="dxa"/>
            <w:vAlign w:val="center"/>
          </w:tcPr>
          <w:p w14:paraId="4A86D49A" w14:textId="77777777" w:rsidR="00CB1488" w:rsidRPr="00B94A66" w:rsidRDefault="00CB1488" w:rsidP="0078119A">
            <w:pPr>
              <w:pStyle w:val="BodyText"/>
              <w:spacing w:before="60" w:after="60" w:line="240" w:lineRule="auto"/>
              <w:contextualSpacing/>
            </w:pPr>
            <w:r>
              <w:rPr>
                <w:rFonts w:ascii="Helvetica" w:hAnsi="Helvetica"/>
                <w:szCs w:val="20"/>
                <w:shd w:val="clear" w:color="auto" w:fill="FFFFFF"/>
              </w:rPr>
              <w:t xml:space="preserve">388 subjects in total </w:t>
            </w:r>
            <w:r>
              <w:rPr>
                <w:rFonts w:ascii="Helvetica" w:hAnsi="Helvetica" w:hint="eastAsia"/>
                <w:szCs w:val="20"/>
                <w:shd w:val="clear" w:color="auto" w:fill="FFFFFF"/>
              </w:rPr>
              <w:t>(</w:t>
            </w:r>
            <w:r>
              <w:rPr>
                <w:szCs w:val="20"/>
              </w:rPr>
              <w:t>To be updated</w:t>
            </w:r>
            <w:r>
              <w:rPr>
                <w:rFonts w:hint="eastAsia"/>
                <w:szCs w:val="20"/>
              </w:rPr>
              <w:t>）</w:t>
            </w:r>
          </w:p>
        </w:tc>
      </w:tr>
      <w:tr w:rsidR="00CB1488" w:rsidRPr="0036209A" w14:paraId="502082FA" w14:textId="77777777" w:rsidTr="0078119A">
        <w:tc>
          <w:tcPr>
            <w:tcW w:w="2005" w:type="dxa"/>
          </w:tcPr>
          <w:p w14:paraId="055C4DFE" w14:textId="77777777" w:rsidR="00CB1488" w:rsidRPr="0036209A" w:rsidRDefault="00CB1488" w:rsidP="0078119A">
            <w:pPr>
              <w:pStyle w:val="TableLeft"/>
              <w:contextualSpacing/>
              <w:rPr>
                <w:rStyle w:val="Strong"/>
                <w:rFonts w:asciiTheme="minorHAnsi" w:hAnsiTheme="minorHAnsi" w:cstheme="minorHAnsi"/>
                <w:color w:val="000000" w:themeColor="text1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color w:val="000000" w:themeColor="text1"/>
                <w:szCs w:val="20"/>
              </w:rPr>
              <w:t>T</w:t>
            </w:r>
            <w:r>
              <w:rPr>
                <w:rStyle w:val="Strong"/>
                <w:rFonts w:asciiTheme="minorHAnsi" w:hAnsiTheme="minorHAnsi" w:cstheme="minorHAnsi"/>
                <w:color w:val="000000" w:themeColor="text1"/>
              </w:rPr>
              <w:t>arget Population</w:t>
            </w:r>
          </w:p>
        </w:tc>
        <w:tc>
          <w:tcPr>
            <w:tcW w:w="7345" w:type="dxa"/>
            <w:vAlign w:val="center"/>
          </w:tcPr>
          <w:p w14:paraId="4128AA78" w14:textId="77777777" w:rsidR="00CB1488" w:rsidRDefault="00CB1488" w:rsidP="0078119A">
            <w:pPr>
              <w:pStyle w:val="BodyText"/>
              <w:spacing w:before="60" w:after="60" w:line="240" w:lineRule="auto"/>
              <w:contextualSpacing/>
              <w:rPr>
                <w:rFonts w:ascii="Helvetica" w:hAnsi="Helvetica"/>
                <w:szCs w:val="20"/>
                <w:shd w:val="clear" w:color="auto" w:fill="FFFFFF"/>
              </w:rPr>
            </w:pPr>
            <w:r>
              <w:rPr>
                <w:rFonts w:ascii="Helvetica" w:hAnsi="Helvetica"/>
                <w:szCs w:val="20"/>
                <w:shd w:val="clear" w:color="auto" w:fill="FFFFFF"/>
              </w:rPr>
              <w:t xml:space="preserve">Patients with treatment-naïve, resectable stage IIIA, IIIB (N2) non-small cell lung cancer (NSCLC) </w:t>
            </w:r>
          </w:p>
        </w:tc>
      </w:tr>
      <w:tr w:rsidR="00CB1488" w:rsidRPr="0036209A" w14:paraId="5D3A6169" w14:textId="77777777" w:rsidTr="0078119A">
        <w:tc>
          <w:tcPr>
            <w:tcW w:w="2005" w:type="dxa"/>
          </w:tcPr>
          <w:p w14:paraId="0A4D924E" w14:textId="77777777" w:rsidR="00CB1488" w:rsidRDefault="00CB1488" w:rsidP="0078119A">
            <w:pPr>
              <w:pStyle w:val="TableLeft"/>
              <w:contextualSpacing/>
              <w:rPr>
                <w:rStyle w:val="Strong"/>
                <w:rFonts w:asciiTheme="minorHAnsi" w:hAnsiTheme="minorHAnsi" w:cstheme="minorHAnsi"/>
                <w:color w:val="000000" w:themeColor="text1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color w:val="000000" w:themeColor="text1"/>
                <w:szCs w:val="20"/>
              </w:rPr>
              <w:t>I</w:t>
            </w:r>
            <w:r>
              <w:rPr>
                <w:rStyle w:val="Strong"/>
                <w:rFonts w:asciiTheme="minorHAnsi" w:hAnsiTheme="minorHAnsi" w:cstheme="minorHAnsi"/>
              </w:rPr>
              <w:t>nvestigational Product</w:t>
            </w:r>
          </w:p>
        </w:tc>
        <w:tc>
          <w:tcPr>
            <w:tcW w:w="7345" w:type="dxa"/>
            <w:vAlign w:val="center"/>
          </w:tcPr>
          <w:p w14:paraId="5CF279E0" w14:textId="77777777" w:rsidR="00CB1488" w:rsidRDefault="00CB1488" w:rsidP="0078119A">
            <w:pPr>
              <w:pStyle w:val="BodyText"/>
              <w:spacing w:before="60" w:after="60" w:line="240" w:lineRule="auto"/>
              <w:contextualSpacing/>
              <w:rPr>
                <w:rFonts w:ascii="Helvetica" w:hAnsi="Helvetica"/>
                <w:szCs w:val="20"/>
                <w:shd w:val="clear" w:color="auto" w:fill="FFFFFF"/>
              </w:rPr>
            </w:pPr>
            <w:r>
              <w:rPr>
                <w:rFonts w:ascii="Helvetica" w:hAnsi="Helvetica"/>
                <w:szCs w:val="20"/>
                <w:shd w:val="clear" w:color="auto" w:fill="FFFFFF"/>
              </w:rPr>
              <w:t>IPX is an anti-PD-L1 antibody</w:t>
            </w:r>
          </w:p>
        </w:tc>
      </w:tr>
      <w:tr w:rsidR="00CB1488" w:rsidRPr="0036209A" w14:paraId="19F8C970" w14:textId="77777777" w:rsidTr="0078119A">
        <w:tc>
          <w:tcPr>
            <w:tcW w:w="2005" w:type="dxa"/>
          </w:tcPr>
          <w:p w14:paraId="23B7ED96" w14:textId="77777777" w:rsidR="00CB1488" w:rsidRPr="0036209A" w:rsidRDefault="00CB1488" w:rsidP="0078119A">
            <w:pPr>
              <w:pStyle w:val="TableLeft"/>
              <w:contextualSpacing/>
              <w:rPr>
                <w:rStyle w:val="Strong"/>
                <w:rFonts w:asciiTheme="minorHAnsi" w:hAnsiTheme="minorHAnsi" w:cstheme="minorHAnsi"/>
                <w:color w:val="000000" w:themeColor="text1"/>
                <w:szCs w:val="20"/>
              </w:rPr>
            </w:pPr>
            <w:r>
              <w:rPr>
                <w:rStyle w:val="Strong"/>
                <w:color w:val="000000" w:themeColor="text1"/>
              </w:rPr>
              <w:t xml:space="preserve">Primary endpoint and </w:t>
            </w:r>
            <w:r>
              <w:rPr>
                <w:rStyle w:val="Strong"/>
                <w:rFonts w:asciiTheme="minorHAnsi" w:hAnsiTheme="minorHAnsi" w:cstheme="minorHAnsi"/>
                <w:color w:val="000000" w:themeColor="text1"/>
                <w:szCs w:val="20"/>
              </w:rPr>
              <w:t>T</w:t>
            </w:r>
            <w:r>
              <w:rPr>
                <w:rStyle w:val="Strong"/>
                <w:rFonts w:asciiTheme="minorHAnsi" w:hAnsiTheme="minorHAnsi" w:cstheme="minorHAnsi"/>
                <w:color w:val="000000" w:themeColor="text1"/>
              </w:rPr>
              <w:t>reatment</w:t>
            </w:r>
            <w:r w:rsidRPr="0036209A">
              <w:rPr>
                <w:rStyle w:val="Strong"/>
                <w:rFonts w:asciiTheme="minorHAnsi" w:hAnsiTheme="minorHAnsi" w:cstheme="minorHAnsi"/>
                <w:color w:val="000000" w:themeColor="text1"/>
                <w:szCs w:val="20"/>
              </w:rPr>
              <w:t>:</w:t>
            </w:r>
          </w:p>
        </w:tc>
        <w:tc>
          <w:tcPr>
            <w:tcW w:w="7345" w:type="dxa"/>
            <w:shd w:val="clear" w:color="auto" w:fill="auto"/>
            <w:vAlign w:val="center"/>
          </w:tcPr>
          <w:p w14:paraId="6222514E" w14:textId="77777777" w:rsidR="00CB1488" w:rsidRDefault="00CB1488" w:rsidP="0078119A">
            <w:pPr>
              <w:pStyle w:val="NormalWeb"/>
              <w:contextualSpacing/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697D5C"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Primary study endpoints </w:t>
            </w:r>
            <w:r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is</w:t>
            </w:r>
            <w:r w:rsidRPr="00697D5C"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MPR rate assessed by BIPR and EFS</w:t>
            </w:r>
            <w:r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.</w:t>
            </w:r>
          </w:p>
          <w:p w14:paraId="599617EB" w14:textId="77777777" w:rsidR="00CB1488" w:rsidRDefault="00CB1488" w:rsidP="0078119A">
            <w:pPr>
              <w:pStyle w:val="NormalWeb"/>
              <w:contextualSpacing/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</w:p>
          <w:p w14:paraId="6E207280" w14:textId="77777777" w:rsidR="00CB1488" w:rsidRDefault="00CB1488" w:rsidP="0078119A">
            <w:pPr>
              <w:pStyle w:val="NormalWeb"/>
              <w:contextualSpacing/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697D5C"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A total of approximately 388 subjects are planned to be enrolled in this study. Subjects who are fully informed and sign the informed consent form will be screened 1:1 Randomly assigned to receive neoadjuvant treatment with </w:t>
            </w:r>
            <w:r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IPX</w:t>
            </w:r>
            <w:r w:rsidRPr="00697D5C"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plus platinum-based doublet chemotherapy (experimental group) or placebo plus platinum-based doublet chemotherapy (control group) for a total of 3-4 cycles of neoadjuvant therapy (at the discretion of the investigator). </w:t>
            </w:r>
          </w:p>
          <w:p w14:paraId="6DD59A6C" w14:textId="77777777" w:rsidR="00CB1488" w:rsidRDefault="00CB1488" w:rsidP="0078119A">
            <w:pPr>
              <w:pStyle w:val="NormalWeb"/>
              <w:contextualSpacing/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697D5C"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The investigator will assess the feasibility of surgery and perform surgery within 4-6 weeks after the end of neoadjuvant therapy, and then receive adjuvant treatment with </w:t>
            </w:r>
            <w:r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IPX</w:t>
            </w:r>
            <w:r w:rsidRPr="00697D5C"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(experimental group) or placebo (control group) after surgery</w:t>
            </w:r>
            <w:r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 until 48 weeks (16 cycles in total)</w:t>
            </w:r>
            <w:r w:rsidRPr="00697D5C"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. </w:t>
            </w:r>
          </w:p>
          <w:p w14:paraId="3692203D" w14:textId="77777777" w:rsidR="00CB1488" w:rsidRDefault="00CB1488" w:rsidP="0078119A">
            <w:pPr>
              <w:pStyle w:val="NormalWeb"/>
              <w:contextualSpacing/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</w:p>
          <w:p w14:paraId="1EEB9981" w14:textId="77777777" w:rsidR="00CB1488" w:rsidRDefault="00CB1488" w:rsidP="0078119A">
            <w:pPr>
              <w:pStyle w:val="NormalWeb"/>
              <w:contextualSpacing/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697D5C"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 xml:space="preserve">Note: in both groups, the investigator can give adjuvant radiotherapy according to the postoperative conditions of the patients combined with clinical practice. The chemotherapy regimen will be chosen by the investigator. </w:t>
            </w:r>
          </w:p>
          <w:p w14:paraId="4F6CBF6E" w14:textId="77777777" w:rsidR="00CB1488" w:rsidRPr="0036209A" w:rsidRDefault="00CB1488" w:rsidP="0078119A">
            <w:pPr>
              <w:pStyle w:val="NormalWeb"/>
              <w:contextualSpacing/>
              <w:rPr>
                <w:rFonts w:asciiTheme="minorHAnsi" w:hAnsiTheme="minorHAnsi" w:cstheme="minorHAnsi"/>
                <w:color w:val="000000" w:themeColor="text1"/>
                <w:szCs w:val="20"/>
                <w:lang w:val="en-GB"/>
              </w:rPr>
            </w:pPr>
          </w:p>
        </w:tc>
      </w:tr>
      <w:tr w:rsidR="00CB1488" w:rsidRPr="0036209A" w14:paraId="5E5B4CD9" w14:textId="77777777" w:rsidTr="0078119A">
        <w:tc>
          <w:tcPr>
            <w:tcW w:w="2005" w:type="dxa"/>
          </w:tcPr>
          <w:p w14:paraId="7854856E" w14:textId="77777777" w:rsidR="00CB1488" w:rsidRPr="0036209A" w:rsidRDefault="00CB1488" w:rsidP="0078119A">
            <w:pPr>
              <w:pStyle w:val="TableLeft"/>
              <w:contextualSpacing/>
              <w:rPr>
                <w:rStyle w:val="Strong"/>
                <w:rFonts w:asciiTheme="minorHAnsi" w:hAnsiTheme="minorHAnsi" w:cstheme="minorHAnsi"/>
                <w:color w:val="000000" w:themeColor="text1"/>
                <w:szCs w:val="20"/>
                <w:lang w:val="en-US"/>
              </w:rPr>
            </w:pPr>
            <w:r w:rsidRPr="0036209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Cs w:val="20"/>
                <w:lang w:eastAsia="zh-TW"/>
              </w:rPr>
              <w:t>Key Inclusion Criteria:</w:t>
            </w:r>
          </w:p>
        </w:tc>
        <w:tc>
          <w:tcPr>
            <w:tcW w:w="7345" w:type="dxa"/>
          </w:tcPr>
          <w:p w14:paraId="5D8FD28E" w14:textId="77777777" w:rsidR="00CB1488" w:rsidRPr="002418BD" w:rsidRDefault="00CB1488" w:rsidP="00CB1488">
            <w:pPr>
              <w:pStyle w:val="NormalWeb"/>
              <w:numPr>
                <w:ilvl w:val="0"/>
                <w:numId w:val="1"/>
              </w:numPr>
              <w:ind w:left="290" w:hanging="290"/>
              <w:contextualSpacing/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2418BD">
              <w:rPr>
                <w:rFonts w:ascii="Arial" w:eastAsia="PMingLiU" w:hAnsi="Arial" w:cs="Arial"/>
                <w:color w:val="2B3A42"/>
                <w:sz w:val="20"/>
                <w:szCs w:val="20"/>
                <w:lang w:eastAsia="en-US"/>
              </w:rPr>
              <w:t>Histologically and/or cytologically confirmed diagnosis of stage IIIA-IIIB (N2) NSCLC (according to the International Association for the Study of Lung Cancer [IASLC] Thoracic Tumor Staging Manual/American Joint Committee on Cancer [AJCC] 8th Edition);</w:t>
            </w:r>
          </w:p>
          <w:p w14:paraId="718D8CB1" w14:textId="77777777" w:rsidR="00CB1488" w:rsidRPr="002418BD" w:rsidRDefault="00CB1488" w:rsidP="00CB1488">
            <w:pPr>
              <w:pStyle w:val="NormalWeb"/>
              <w:numPr>
                <w:ilvl w:val="0"/>
                <w:numId w:val="1"/>
              </w:numPr>
              <w:ind w:left="290" w:hanging="290"/>
              <w:contextualSpacing/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</w:pPr>
            <w:r w:rsidRPr="002418BD">
              <w:rPr>
                <w:rFonts w:ascii="Helvetica" w:hAnsi="Helvetica"/>
                <w:color w:val="000000" w:themeColor="text1"/>
                <w:sz w:val="20"/>
                <w:szCs w:val="20"/>
                <w:shd w:val="clear" w:color="auto" w:fill="FFFFFF"/>
                <w:lang w:val="en-GB"/>
              </w:rPr>
              <w:t>The surgeon assessed that total lung function is able to withstand the proposed pneumonectomy procedure.</w:t>
            </w:r>
          </w:p>
        </w:tc>
      </w:tr>
      <w:tr w:rsidR="00CB1488" w:rsidRPr="0036209A" w14:paraId="579ADD0A" w14:textId="77777777" w:rsidTr="0078119A">
        <w:tc>
          <w:tcPr>
            <w:tcW w:w="2005" w:type="dxa"/>
          </w:tcPr>
          <w:p w14:paraId="6FA0060F" w14:textId="77777777" w:rsidR="00CB1488" w:rsidRPr="0036209A" w:rsidRDefault="00CB1488" w:rsidP="0078119A">
            <w:pPr>
              <w:pStyle w:val="TableLeft"/>
              <w:contextualSpacing/>
              <w:rPr>
                <w:rStyle w:val="Strong"/>
                <w:rFonts w:asciiTheme="minorHAnsi" w:hAnsiTheme="minorHAnsi" w:cstheme="minorHAnsi"/>
                <w:color w:val="000000" w:themeColor="text1"/>
                <w:szCs w:val="20"/>
              </w:rPr>
            </w:pPr>
            <w:r w:rsidRPr="0036209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Cs w:val="20"/>
                <w:lang w:eastAsia="zh-TW"/>
              </w:rPr>
              <w:t xml:space="preserve">Key 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Cs w:val="20"/>
                <w:lang w:eastAsia="zh-TW"/>
              </w:rPr>
              <w:t>Exclusion</w:t>
            </w:r>
            <w:r w:rsidRPr="0036209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Cs w:val="20"/>
                <w:lang w:eastAsia="zh-TW"/>
              </w:rPr>
              <w:t xml:space="preserve"> Criteria:</w:t>
            </w:r>
          </w:p>
        </w:tc>
        <w:tc>
          <w:tcPr>
            <w:tcW w:w="7345" w:type="dxa"/>
          </w:tcPr>
          <w:p w14:paraId="6915567F" w14:textId="77777777" w:rsidR="00CB1488" w:rsidRDefault="00CB1488" w:rsidP="00CB148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90" w:hanging="290"/>
              <w:rPr>
                <w:rStyle w:val="Strong"/>
                <w:rFonts w:ascii="Helvetica" w:hAnsi="Helvetica"/>
                <w:b w:val="0"/>
                <w:bCs w:val="0"/>
                <w:color w:val="000000" w:themeColor="text1"/>
              </w:rPr>
            </w:pPr>
            <w:r w:rsidRPr="002418BD">
              <w:rPr>
                <w:rStyle w:val="Strong"/>
                <w:rFonts w:ascii="Helvetica" w:hAnsi="Helvetica"/>
                <w:color w:val="000000" w:themeColor="text1"/>
              </w:rPr>
              <w:t>Tumor histologically or cytologically confirmed or combined with neuroendocrine carcinoma (large cell, small cell, carcinoid, etc.) components, or sarcomatous/</w:t>
            </w:r>
            <w:proofErr w:type="spellStart"/>
            <w:r w:rsidRPr="002418BD">
              <w:rPr>
                <w:rStyle w:val="Strong"/>
                <w:rFonts w:ascii="Helvetica" w:hAnsi="Helvetica"/>
                <w:color w:val="000000" w:themeColor="text1"/>
              </w:rPr>
              <w:t>sarcomatoid</w:t>
            </w:r>
            <w:proofErr w:type="spellEnd"/>
            <w:r w:rsidRPr="002418BD">
              <w:rPr>
                <w:rStyle w:val="Strong"/>
                <w:rFonts w:ascii="Helvetica" w:hAnsi="Helvetica"/>
                <w:color w:val="000000" w:themeColor="text1"/>
              </w:rPr>
              <w:t xml:space="preserve"> lesions, or </w:t>
            </w:r>
            <w:proofErr w:type="spellStart"/>
            <w:r w:rsidRPr="002418BD">
              <w:rPr>
                <w:rStyle w:val="Strong"/>
                <w:rFonts w:ascii="Helvetica" w:hAnsi="Helvetica"/>
                <w:color w:val="000000" w:themeColor="text1"/>
              </w:rPr>
              <w:t>adenosquamous</w:t>
            </w:r>
            <w:proofErr w:type="spellEnd"/>
            <w:r w:rsidRPr="002418BD">
              <w:rPr>
                <w:rStyle w:val="Strong"/>
                <w:rFonts w:ascii="Helvetica" w:hAnsi="Helvetica"/>
                <w:color w:val="000000" w:themeColor="text1"/>
              </w:rPr>
              <w:t xml:space="preserve"> carcinoma, or special pathological types (such as smaca4 deletion type, etc.);</w:t>
            </w:r>
          </w:p>
          <w:p w14:paraId="72A43973" w14:textId="77777777" w:rsidR="00CB1488" w:rsidRDefault="00CB1488" w:rsidP="00CB148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90" w:hanging="290"/>
              <w:rPr>
                <w:rStyle w:val="Strong"/>
                <w:rFonts w:ascii="Helvetica" w:hAnsi="Helvetica"/>
                <w:b w:val="0"/>
                <w:bCs w:val="0"/>
                <w:color w:val="000000" w:themeColor="text1"/>
              </w:rPr>
            </w:pPr>
            <w:r w:rsidRPr="002418BD">
              <w:rPr>
                <w:rStyle w:val="Strong"/>
                <w:rFonts w:ascii="Helvetica" w:hAnsi="Helvetica"/>
                <w:color w:val="000000" w:themeColor="text1"/>
              </w:rPr>
              <w:t>Previous treatment with PD-1/PD-L1 agents or treatment with another drug that targets T-cell receptors (e.g., CTLA-4, OX-40, etc.);</w:t>
            </w:r>
          </w:p>
          <w:p w14:paraId="213CDF86" w14:textId="77777777" w:rsidR="00CB1488" w:rsidRDefault="00CB1488" w:rsidP="00CB148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90" w:hanging="290"/>
              <w:rPr>
                <w:rStyle w:val="Strong"/>
                <w:rFonts w:ascii="Helvetica" w:hAnsi="Helvetica"/>
                <w:b w:val="0"/>
                <w:bCs w:val="0"/>
                <w:color w:val="000000" w:themeColor="text1"/>
              </w:rPr>
            </w:pPr>
            <w:r w:rsidRPr="002418BD">
              <w:rPr>
                <w:rStyle w:val="Strong"/>
                <w:rFonts w:ascii="Helvetica" w:hAnsi="Helvetica"/>
                <w:color w:val="000000" w:themeColor="text1"/>
              </w:rPr>
              <w:t>Participants with known EGFR mutations or ALK translocations, and subjects with non-squamous cell carcinoma need to determine EGFR and ALK mutation status;</w:t>
            </w:r>
          </w:p>
          <w:p w14:paraId="3757DD24" w14:textId="77777777" w:rsidR="00CB1488" w:rsidRDefault="00CB1488" w:rsidP="00CB148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90" w:hanging="290"/>
              <w:rPr>
                <w:rStyle w:val="Strong"/>
                <w:rFonts w:ascii="Helvetica" w:hAnsi="Helvetica"/>
                <w:b w:val="0"/>
                <w:bCs w:val="0"/>
                <w:color w:val="000000" w:themeColor="text1"/>
              </w:rPr>
            </w:pPr>
            <w:r w:rsidRPr="002418BD">
              <w:rPr>
                <w:rStyle w:val="Strong"/>
                <w:rFonts w:ascii="Helvetica" w:hAnsi="Helvetica"/>
                <w:color w:val="000000" w:themeColor="text1"/>
              </w:rPr>
              <w:t>Presence of locally advanced unresectable or metastatic disease; referring to the definition of "Management, Consensus and Controversy"(2022 Edition) of Stage III Non-small cell Lung Cancer (2022 Edition)</w:t>
            </w:r>
            <w:r>
              <w:rPr>
                <w:rStyle w:val="Strong"/>
                <w:rFonts w:ascii="Helvetica" w:hAnsi="Helvetica"/>
                <w:color w:val="000000" w:themeColor="text1"/>
              </w:rPr>
              <w:t>;</w:t>
            </w:r>
          </w:p>
          <w:p w14:paraId="40CB702A" w14:textId="77777777" w:rsidR="00CB1488" w:rsidRPr="002418BD" w:rsidRDefault="00CB1488" w:rsidP="00CB148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90" w:hanging="290"/>
              <w:rPr>
                <w:rStyle w:val="Strong"/>
                <w:rFonts w:ascii="Helvetica" w:hAnsi="Helvetica"/>
                <w:b w:val="0"/>
                <w:bCs w:val="0"/>
                <w:color w:val="000000" w:themeColor="text1"/>
              </w:rPr>
            </w:pPr>
            <w:r w:rsidRPr="002418BD">
              <w:rPr>
                <w:rStyle w:val="Strong"/>
                <w:rFonts w:ascii="Helvetica" w:hAnsi="Helvetica"/>
                <w:color w:val="000000" w:themeColor="text1"/>
              </w:rPr>
              <w:t>Any prior anti-tumor therapy (including chemotherapy, radiotherapy, immunotherapy, or targeted therapy) for the disease under study</w:t>
            </w:r>
          </w:p>
        </w:tc>
      </w:tr>
      <w:bookmarkEnd w:id="0"/>
    </w:tbl>
    <w:p w14:paraId="73B16DD9" w14:textId="7DA48A97" w:rsidR="00FD5CA5" w:rsidRDefault="00FD5CA5" w:rsidP="00CB1488"/>
    <w:sectPr w:rsidR="00FD5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eneva">
    <w:altName w:val="Arial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173BB"/>
    <w:multiLevelType w:val="hybridMultilevel"/>
    <w:tmpl w:val="EE606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45C56"/>
    <w:multiLevelType w:val="hybridMultilevel"/>
    <w:tmpl w:val="A0F0B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354548">
    <w:abstractNumId w:val="1"/>
  </w:num>
  <w:num w:numId="2" w16cid:durableId="115429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EF"/>
    <w:rsid w:val="002A6E80"/>
    <w:rsid w:val="00CB1488"/>
    <w:rsid w:val="00CF5EEF"/>
    <w:rsid w:val="00D04CE1"/>
    <w:rsid w:val="00FD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A771"/>
  <w15:chartTrackingRefBased/>
  <w15:docId w15:val="{0F3EFCE9-3BB0-4285-A2D2-C43C7077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1488"/>
    <w:pPr>
      <w:spacing w:after="120" w:line="300" w:lineRule="exact"/>
    </w:pPr>
    <w:rPr>
      <w:rFonts w:ascii="Arial" w:eastAsia="PMingLiU" w:hAnsi="Arial" w:cs="Times New Roman"/>
      <w:color w:val="2B3A42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B1488"/>
  </w:style>
  <w:style w:type="character" w:customStyle="1" w:styleId="BodyTextChar">
    <w:name w:val="Body Text Char"/>
    <w:basedOn w:val="DefaultParagraphFont"/>
    <w:link w:val="BodyText"/>
    <w:rsid w:val="00CB1488"/>
    <w:rPr>
      <w:rFonts w:ascii="Arial" w:eastAsia="PMingLiU" w:hAnsi="Arial" w:cs="Times New Roman"/>
      <w:color w:val="2B3A42"/>
      <w:sz w:val="20"/>
      <w:szCs w:val="24"/>
    </w:rPr>
  </w:style>
  <w:style w:type="character" w:styleId="Strong">
    <w:name w:val="Strong"/>
    <w:basedOn w:val="DefaultParagraphFont"/>
    <w:uiPriority w:val="22"/>
    <w:qFormat/>
    <w:rsid w:val="00CB1488"/>
    <w:rPr>
      <w:b/>
      <w:bCs/>
    </w:rPr>
  </w:style>
  <w:style w:type="paragraph" w:customStyle="1" w:styleId="TableLeft">
    <w:name w:val="Table Left"/>
    <w:basedOn w:val="Normal"/>
    <w:link w:val="TableLeftChar"/>
    <w:qFormat/>
    <w:rsid w:val="00CB1488"/>
    <w:pPr>
      <w:spacing w:before="60" w:after="60" w:line="240" w:lineRule="auto"/>
    </w:pPr>
    <w:rPr>
      <w:lang w:val="en-GB"/>
    </w:rPr>
  </w:style>
  <w:style w:type="table" w:styleId="TableGrid">
    <w:name w:val="Table Grid"/>
    <w:basedOn w:val="TableNormal"/>
    <w:uiPriority w:val="39"/>
    <w:rsid w:val="00CB1488"/>
    <w:pPr>
      <w:spacing w:after="0" w:line="240" w:lineRule="auto"/>
    </w:pPr>
    <w:rPr>
      <w:rFonts w:ascii="Arial" w:eastAsia="PMingLiU" w:hAnsi="Arial" w:cs="Genev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color w:val="44546A" w:themeColor="text2"/>
      </w:rPr>
    </w:tblStylePr>
  </w:style>
  <w:style w:type="character" w:customStyle="1" w:styleId="TableLeftChar">
    <w:name w:val="Table Left Char"/>
    <w:basedOn w:val="DefaultParagraphFont"/>
    <w:link w:val="TableLeft"/>
    <w:rsid w:val="00CB1488"/>
    <w:rPr>
      <w:rFonts w:ascii="Arial" w:eastAsia="PMingLiU" w:hAnsi="Arial" w:cs="Times New Roman"/>
      <w:color w:val="2B3A42"/>
      <w:sz w:val="20"/>
      <w:szCs w:val="24"/>
      <w:lang w:val="en-GB"/>
    </w:rPr>
  </w:style>
  <w:style w:type="paragraph" w:styleId="ListParagraph">
    <w:name w:val="List Paragraph"/>
    <w:aliases w:val="1.1.1 목록단락,목록 단락 한편괄호,Bullet_목록"/>
    <w:basedOn w:val="BodyText"/>
    <w:link w:val="ListParagraphChar"/>
    <w:uiPriority w:val="34"/>
    <w:qFormat/>
    <w:rsid w:val="00CB1488"/>
    <w:pPr>
      <w:ind w:left="720"/>
    </w:pPr>
    <w:rPr>
      <w:rFonts w:eastAsiaTheme="minorHAnsi" w:cs="Calibri"/>
      <w:color w:val="auto"/>
    </w:rPr>
  </w:style>
  <w:style w:type="character" w:customStyle="1" w:styleId="ListParagraphChar">
    <w:name w:val="List Paragraph Char"/>
    <w:aliases w:val="1.1.1 목록단락 Char,목록 단락 한편괄호 Char,Bullet_목록 Char"/>
    <w:basedOn w:val="DefaultParagraphFont"/>
    <w:link w:val="ListParagraph"/>
    <w:uiPriority w:val="34"/>
    <w:qFormat/>
    <w:locked/>
    <w:rsid w:val="00CB1488"/>
    <w:rPr>
      <w:rFonts w:ascii="Arial" w:hAnsi="Arial" w:cs="Calibri"/>
      <w:sz w:val="20"/>
      <w:szCs w:val="24"/>
    </w:rPr>
  </w:style>
  <w:style w:type="paragraph" w:styleId="NormalWeb">
    <w:name w:val="Normal (Web)"/>
    <w:basedOn w:val="Normal"/>
    <w:uiPriority w:val="99"/>
    <w:unhideWhenUsed/>
    <w:rsid w:val="00CB1488"/>
    <w:pPr>
      <w:spacing w:before="100" w:beforeAutospacing="1" w:after="100" w:afterAutospacing="1" w:line="240" w:lineRule="auto"/>
    </w:pPr>
    <w:rPr>
      <w:rFonts w:ascii="Times New Roman" w:eastAsia="SimSun" w:hAnsi="Times New Roman"/>
      <w:color w:val="auto"/>
      <w:sz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7EBE0F367398488595B38ED5D38C0C" ma:contentTypeVersion="14" ma:contentTypeDescription="Create a new document." ma:contentTypeScope="" ma:versionID="9e67ad00b74d78e044c7aacb68c30f65">
  <xsd:schema xmlns:xsd="http://www.w3.org/2001/XMLSchema" xmlns:xs="http://www.w3.org/2001/XMLSchema" xmlns:p="http://schemas.microsoft.com/office/2006/metadata/properties" xmlns:ns2="0c1a6a7d-1564-4c3d-bc73-2eb77e2d747b" xmlns:ns3="9fce3805-903f-47ba-b8d2-81977dc2ffc6" targetNamespace="http://schemas.microsoft.com/office/2006/metadata/properties" ma:root="true" ma:fieldsID="da7e7cd00f3055c6e038da43dc98356c" ns2:_="" ns3:_="">
    <xsd:import namespace="0c1a6a7d-1564-4c3d-bc73-2eb77e2d747b"/>
    <xsd:import namespace="9fce3805-903f-47ba-b8d2-81977dc2ff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ocTag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a6a7d-1564-4c3d-bc73-2eb77e2d74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ocTags" ma:index="12" nillable="true" ma:displayName="MediaServiceDocTags" ma:hidden="true" ma:internalName="MediaServiceDocTag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68784c8-5187-4d12-af89-ac967a8112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ce3805-903f-47ba-b8d2-81977dc2ffc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041dd84-531a-475a-944f-d5c6ea4841b3}" ma:internalName="TaxCatchAll" ma:showField="CatchAllData" ma:web="9fce3805-903f-47ba-b8d2-81977dc2ff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1a6a7d-1564-4c3d-bc73-2eb77e2d747b">
      <Terms xmlns="http://schemas.microsoft.com/office/infopath/2007/PartnerControls"/>
    </lcf76f155ced4ddcb4097134ff3c332f>
    <TaxCatchAll xmlns="9fce3805-903f-47ba-b8d2-81977dc2ffc6" xsi:nil="true"/>
  </documentManagement>
</p:properties>
</file>

<file path=customXml/itemProps1.xml><?xml version="1.0" encoding="utf-8"?>
<ds:datastoreItem xmlns:ds="http://schemas.openxmlformats.org/officeDocument/2006/customXml" ds:itemID="{DD3E2E0D-B03E-4AC0-8447-3CED3F44E724}"/>
</file>

<file path=customXml/itemProps2.xml><?xml version="1.0" encoding="utf-8"?>
<ds:datastoreItem xmlns:ds="http://schemas.openxmlformats.org/officeDocument/2006/customXml" ds:itemID="{E0F36301-A122-48CF-9333-1A240E5CAF0F}"/>
</file>

<file path=customXml/itemProps3.xml><?xml version="1.0" encoding="utf-8"?>
<ds:datastoreItem xmlns:ds="http://schemas.openxmlformats.org/officeDocument/2006/customXml" ds:itemID="{AF3276FA-34D2-4579-BA7D-FD9DF0A2C3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Neftelinov, Svetoslav</dc:creator>
  <cp:keywords/>
  <dc:description/>
  <cp:lastModifiedBy>Neftelinov, Svetoslav</cp:lastModifiedBy>
  <cp:revision>2</cp:revision>
  <dcterms:created xsi:type="dcterms:W3CDTF">2023-10-31T17:43:00Z</dcterms:created>
  <dcterms:modified xsi:type="dcterms:W3CDTF">2023-10-31T17:43:00Z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0x0101001C7EBE0F367398488595B38ED5D38C0C</vt:lpwstr>
  </property>
</Properties>
</file>