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7" w:rightFromText="187" w:topFromText="0" w:bottomFromText="0" w:vertAnchor="page" w:horzAnchor="margin" w:tblpXSpec="center" w:tblpY="2881"/>
        <w:tblW w:w="7209.0" w:type="dxa"/>
        <w:jc w:val="left"/>
        <w:tblBorders>
          <w:left w:color="156082" w:space="0" w:sz="12" w:val="single"/>
        </w:tblBorders>
        <w:tblLayout w:type="fixed"/>
        <w:tblLook w:val="0400"/>
      </w:tblPr>
      <w:tblGrid>
        <w:gridCol w:w="7209"/>
        <w:tblGridChange w:id="0">
          <w:tblGrid>
            <w:gridCol w:w="7209"/>
          </w:tblGrid>
        </w:tblGridChange>
      </w:tblGrid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Stručni kurs Razvoj bezbednog softvera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156082"/>
                <w:sz w:val="88"/>
                <w:szCs w:val="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156082"/>
                <w:sz w:val="88"/>
                <w:szCs w:val="88"/>
                <w:u w:val="none"/>
                <w:shd w:fill="auto" w:val="clear"/>
                <w:vertAlign w:val="baseline"/>
                <w:rtl w:val="0"/>
              </w:rPr>
              <w:t xml:space="preserve">Izveštaj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Pronađene ranjivosti u projektu “RealBookStore”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156082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56082"/>
                <w:sz w:val="28"/>
                <w:szCs w:val="28"/>
                <w:rtl w:val="0"/>
              </w:rPr>
              <w:t xml:space="preserve">Ana Bolović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156082"/>
                <w:sz w:val="28"/>
                <w:szCs w:val="28"/>
              </w:rPr>
            </w:pPr>
            <w:r w:rsidDel="00000000" w:rsidR="00000000" w:rsidRPr="00000000">
              <w:rPr>
                <w:color w:val="156082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color w:val="156082"/>
                <w:sz w:val="28"/>
                <w:szCs w:val="28"/>
                <w:rtl w:val="0"/>
              </w:rPr>
              <w:t xml:space="preserve">.5.2024.</w:t>
            </w:r>
          </w:p>
          <w:p w:rsidR="00000000" w:rsidDel="00000000" w:rsidP="00000000" w:rsidRDefault="00000000" w:rsidRPr="00000000" w14:paraId="00000007">
            <w:pPr>
              <w:rPr>
                <w:color w:val="15608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Istorija izmena</w:t>
      </w:r>
    </w:p>
    <w:tbl>
      <w:tblPr>
        <w:tblStyle w:val="Table2"/>
        <w:tblW w:w="9016.0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Izmenio/la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Komentar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28.2.2024.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Ana Bolović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Kreiran izveštaj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Sadržaj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Istorija izmena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veb aplikaciji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Kratak pregled rezultata testiranja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 injection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Napad: Ubacivanje novog usera u tabelu “persons” (SQL injection)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 napada: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Predlog odbrane: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Cross-site scripting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Napad: Ubacivanje novog usera u tabelu “persons”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 napada: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Predlog odbrane: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Zaključak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Ovaj izveštaj se bavi ranjivostima pronađenim u dole opisanoj veb aplikaciji.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 veb aplikaciji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RealBookStore je veb aplikacija koja pruža mogućnosti pretrage, ocenjivanja i komentarisanja knjiga.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Aplikacija RealBookStore omogućava sledeće: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Pregled i pretragu knjiga.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Dodavanje nove knjige.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Detaljan pregleda knjige kao i komentarisanje i ocenjivanje knjige.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Pregled korisnika aplikacije.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Detaljan pregled podataka korisnika.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Kratak pregled rezultata testiranja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Ovde idu kratko opisani rezultati testiranja: pronađene ranjivosti i nivo opasnosti.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Nivo opasnosti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Broj ranjivosti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0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0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Napad: Ubacivanje novog usera u tabelu “persons” (SQL injection)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Metod napada:</w:t>
      </w: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Predlog odbrane: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PreparedStatement umesto običnog Statement.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Napad: Ubacivanje novog usera u tabelu “persons”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Metod napada: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 stranici Persons aplikacije, uneti sledeći kod u input polje “First Name”: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Predlog odbrane: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textContent umesto innerHtml i utext umesto text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ar73wwsx7ma8" w:id="12"/>
      <w:bookmarkEnd w:id="12"/>
      <w:r w:rsidDel="00000000" w:rsidR="00000000" w:rsidRPr="00000000">
        <w:rPr>
          <w:rtl w:val="0"/>
        </w:rPr>
        <w:t xml:space="preserve">Cross-site request forgery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Napad: Menjanje li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č</w:t>
      </w:r>
      <w:r w:rsidDel="00000000" w:rsidR="00000000" w:rsidRPr="00000000">
        <w:rPr>
          <w:rtl w:val="0"/>
        </w:rPr>
        <w:t xml:space="preserve">nih podataka.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2capvdoia10" w:id="14"/>
      <w:bookmarkEnd w:id="14"/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Ovde smo ukljucili CORS zastitu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Zaključak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Uopšteni zaključci testiranja i predlozi za sledeće korake kako bi najbolje obezbedili aplikaciju.</w:t>
      </w:r>
    </w:p>
    <w:sectPr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