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Análise — Conversas e Probabilidade de Resposta</w:t>
      </w:r>
    </w:p>
    <w:p>
      <w:pPr>
        <w:pStyle w:val="Heading2"/>
      </w:pPr>
      <w:r>
        <w:t>1. Introdução</w:t>
      </w:r>
    </w:p>
    <w:p>
      <w:r>
        <w:t>Este relatório consolida gráficos e resultados das análises realizadas sobre o comportamento de resposta ao longo do tempo, incluindo modelos de machine learning, análises temporais e métodos de sobrevivência.</w:t>
      </w:r>
    </w:p>
    <w:p>
      <w:pPr>
        <w:pStyle w:val="Heading2"/>
      </w:pPr>
      <w:r>
        <w:t>2. Distribuição do Tempo de Resposta</w:t>
      </w:r>
    </w:p>
    <w:p>
      <w:r>
        <w:t>[Imagem não encontrada: fig_hist_reply_minutes.png]</w:t>
      </w:r>
    </w:p>
    <w:p>
      <w:r>
        <w:t>[Imagem não encontrada: fig_hist_reply_minutes_log.png]</w:t>
      </w:r>
    </w:p>
    <w:p>
      <w:pPr>
        <w:pStyle w:val="Heading2"/>
      </w:pPr>
      <w:r>
        <w:t>3. Taxas de Resposta por Intervalo</w:t>
      </w:r>
    </w:p>
    <w:p>
      <w:r>
        <w:t>[Imagem não encontrada: fig_response_rates_cutoffs.png]</w:t>
      </w:r>
    </w:p>
    <w:p>
      <w:pPr>
        <w:pStyle w:val="Heading2"/>
      </w:pPr>
      <w:r>
        <w:t>4. Antes vs Depois de Dez/2024</w:t>
      </w:r>
    </w:p>
    <w:p>
      <w:r>
        <w:t>[Imagem não encontrada: fig_box_reply_before_after.png]</w:t>
      </w:r>
    </w:p>
    <w:p>
      <w:r>
        <w:t>[Imagem não encontrada: fig_auc_before_after_30min.png]</w:t>
      </w:r>
    </w:p>
    <w:p>
      <w:pPr>
        <w:pStyle w:val="Heading2"/>
      </w:pPr>
      <w:r>
        <w:t>5. Machine Learning (&lt;=30 min)</w:t>
      </w:r>
    </w:p>
    <w:p>
      <w:r>
        <w:t>[Imagem não encontrada: fig_rf_importances_30min.png]</w:t>
      </w:r>
    </w:p>
    <w:p>
      <w:r>
        <w:t>[Imagem não encontrada: fig_logreg_coefs_before_after.png]</w:t>
      </w:r>
    </w:p>
    <w:p>
      <w:pPr>
        <w:pStyle w:val="Heading2"/>
      </w:pPr>
      <w:r>
        <w:t>6. Análise de Sobrevivência</w:t>
      </w:r>
    </w:p>
    <w:p>
      <w:r>
        <w:t>[Imagem não encontrada: fig_km_before_after_30min.png]</w:t>
      </w:r>
    </w:p>
    <w:p>
      <w:r>
        <w:t>[Imagem não encontrada: fig_cox_hazard_ratios.png]</w:t>
      </w:r>
    </w:p>
    <w:p>
      <w:pPr>
        <w:pStyle w:val="Heading2"/>
      </w:pPr>
      <w:r>
        <w:t>7. Conclusões</w:t>
      </w:r>
    </w:p>
    <w:p>
      <w:r>
        <w:t>Este documento agrega visualmente todas as figuras associadas às análises. O texto interpretativo será incluído na versão final estilo artigo.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