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0B2A4A"/>
          <w:sz w:val="28"/>
        </w:rPr>
        <w:t>PRETOS NA ERA DIGITAL LTDA.</w:t>
      </w:r>
    </w:p>
    <w:p>
      <w:pPr>
        <w:spacing w:before="1400"/>
        <w:jc w:val="center"/>
      </w:pPr>
      <w:r>
        <w:rPr>
          <w:b/>
          <w:color w:val="0B2A4A"/>
          <w:sz w:val="52"/>
        </w:rPr>
        <w:t>PROTEGE.DADOS</w:t>
      </w:r>
    </w:p>
    <w:p>
      <w:pPr>
        <w:jc w:val="center"/>
      </w:pPr>
      <w:r>
        <w:rPr>
          <w:b/>
          <w:color w:val="1E5A87"/>
          <w:sz w:val="28"/>
        </w:rPr>
        <w:t>OBSERVATÓRIO DE PROTEÇÃO DIGITAL INFANTOJUVENIL</w:t>
      </w:r>
    </w:p>
    <w:p>
      <w:pPr>
        <w:spacing w:before="600"/>
        <w:jc w:val="center"/>
      </w:pPr>
      <w:r>
        <w:rPr>
          <w:b/>
          <w:sz w:val="32"/>
        </w:rPr>
        <w:t>MEMORIAL TÉCNICO-CIENTÍFICO PARA SUBMISSÃO</w:t>
      </w:r>
    </w:p>
    <w:p>
      <w:pPr>
        <w:jc w:val="center"/>
      </w:pPr>
      <w:r>
        <w:rPr>
          <w:i/>
        </w:rPr>
        <w:t>2º Concurso de Reúso de Dados Abertos da CGU</w:t>
      </w:r>
    </w:p>
    <w:p>
      <w:pPr>
        <w:spacing w:before="3000"/>
        <w:jc w:val="center"/>
      </w:pPr>
      <w:r>
        <w:rPr>
          <w:b/>
        </w:rPr>
        <w:t>Ana Maria Carvalheiro</w:t>
      </w:r>
    </w:p>
    <w:p>
      <w:pPr>
        <w:jc w:val="center"/>
      </w:pPr>
      <w:r>
        <w:t>Brasília/DF</w:t>
        <w:br/>
        <w:t>2026</w:t>
      </w:r>
    </w:p>
    <w:p>
      <w:r>
        <w:br w:type="page"/>
      </w:r>
    </w:p>
    <w:p>
      <w:pPr>
        <w:pStyle w:val="Heading1"/>
      </w:pPr>
      <w:r>
        <w:t>IDENTIFICAÇÃO DA INICIATIVA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shd w:fill="0B2A4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702"/>
            <w:shd w:fill="0B2A4A"/>
          </w:tcPr>
          <w:p>
            <w:r>
              <w:rPr>
                <w:b/>
                <w:color w:val="FFFFFF"/>
              </w:rPr>
              <w:t>Informação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Protege.Dados — Observatório de Proteção Digital Infantojuvenil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Proponente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Pretos Na Era Digital Ltda.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Responsável técnica e produto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Ana Maria Carvalheiro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Formação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Bacharelado em Ciência da Computação; MBA Executivo em Gestão Bancária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Local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Brasília/DF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Natureza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Painel e plataforma de reúso de dados abertos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Portal público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https://anacarvalheiro-ai.github.io/protege-dados/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Repositório público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https://github.com/anacarvalheiro-ai/protege-dados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Temas principais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Ciência e tecnologia; educação; indicadores sociais; transparência; terceiro setor</w:t>
            </w:r>
          </w:p>
        </w:tc>
      </w:tr>
    </w:tbl>
    <w:p/>
    <w:p>
      <w:r>
        <w:br w:type="page"/>
      </w:r>
    </w:p>
    <w:p>
      <w:pPr>
        <w:pStyle w:val="Heading1"/>
      </w:pPr>
      <w:r>
        <w:t>RESUMO</w:t>
      </w:r>
    </w:p>
    <w:p>
      <w:pPr>
        <w:ind w:firstLine="0"/>
      </w:pPr>
      <w:r>
        <w:t>O Protege.Dados é uma plataforma pública de reúso de dados abertos voltada à proteção digital de crianças e adolescentes. A iniciativa integra registros administrativos de direitos humanos, dados educacionais e estimativas populacionais para produzir indicadores territoriais acessíveis, auditáveis e metodologicamente responsáveis. O produto inclui painel público, dados derivados em formatos abertos, repositório de código, documentação, manifestos de integridade e a versão experimental da Matriz de Vulnerabilidade e Proteção Digital (IVPD). O MVP processou dados para as 27 unidades federativas, analisou 181.065 escolas ativas e 294.592 denúncias únicas no recorte infantojuvenil de 2025. A solução não identifica vítimas, não produz previsão individual e não utiliza rankings simplistas. Seu valor público consiste em traduzir dados fragmentados em informação compreensível para gestores, escolas, organizações sociais, pesquisadores, famílias e cidadãos.</w:t>
      </w:r>
    </w:p>
    <w:p>
      <w:pPr>
        <w:ind w:firstLine="0"/>
      </w:pPr>
      <w:r>
        <w:rPr>
          <w:b/>
        </w:rPr>
        <w:t xml:space="preserve">Palavras-chave: </w:t>
      </w:r>
      <w:r>
        <w:t>dados abertos; proteção infantojuvenil; transparência; educação digital; direitos humanos; IVPD.</w:t>
      </w:r>
    </w:p>
    <w:p>
      <w:pPr>
        <w:pStyle w:val="Heading1"/>
      </w:pPr>
      <w:r>
        <w:t>SUMÁRIO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  <w:t>Atualize o sumário no Word: clique com o botão direito e selecione “Atualizar campo”.</w:t>
        <w:fldChar w:fldCharType="end"/>
      </w:r>
    </w:p>
    <w:p>
      <w:r>
        <w:br w:type="page"/>
      </w:r>
    </w:p>
    <w:p>
      <w:pPr>
        <w:pStyle w:val="Heading1"/>
      </w:pPr>
      <w:r>
        <w:t>1 INTRODUÇÃO</w:t>
      </w:r>
    </w:p>
    <w:p>
      <w:r>
        <w:t>Dados públicos sobre denúncias, educação, conectividade e território são produzidos por diferentes órgãos, em formatos e periodicidades distintos. Embora sejam relevantes para a formulação e o controle de políticas públicas, sua fragmentação dificulta o entendimento por pessoas não especializadas e reduz o potencial de reúso social. O Protege.Dados foi criado para enfrentar esse problema por meio de uma camada de integração, documentação e interpretação responsável.</w:t>
      </w:r>
    </w:p>
    <w:p>
      <w:r>
        <w:t>A proposta está alinhada à finalidade do 2º Concurso de Reúso de Dados Abertos da Controladoria-Geral da União, que exige o uso de pelo menos um conjunto catalogado no Portal Brasileiro de Dados Abertos e avalia apresentação, inovação, transparência e controle social, impacto social, multiplicidade de fontes, ferramentas tecnológicas e inclusividade.</w:t>
      </w:r>
    </w:p>
    <w:p>
      <w:pPr>
        <w:pStyle w:val="Heading1"/>
      </w:pPr>
      <w:r>
        <w:t>2 PROBLEMA PÚBLICO E JUSTIFICATIVA</w:t>
      </w:r>
    </w:p>
    <w:p>
      <w:pPr>
        <w:pStyle w:val="ListBullet"/>
      </w:pPr>
      <w:r>
        <w:t>A informação pública relevante à proteção de crianças e adolescentes permanece dispersa entre diferentes bases, o que dificulta análises integradas e comparações responsáveis.</w:t>
      </w:r>
    </w:p>
    <w:p>
      <w:pPr>
        <w:pStyle w:val="ListBullet"/>
      </w:pPr>
      <w:r>
        <w:t>Números absolutos podem gerar interpretações inadequadas entre territórios com populações, cobertura administrativa e capacidade de notificação distintas.</w:t>
      </w:r>
    </w:p>
    <w:p>
      <w:pPr>
        <w:pStyle w:val="ListBullet"/>
      </w:pPr>
      <w:r>
        <w:t>Denúncias administrativas não equivalem à prevalência da violência: são influenciadas por acesso aos canais, práticas de registro, cobertura institucional, subnotificação e mudanças metodológicas.</w:t>
      </w:r>
    </w:p>
    <w:p>
      <w:pPr>
        <w:pStyle w:val="ListBullet"/>
      </w:pPr>
      <w:r>
        <w:t>Escolas, redes de proteção, organizações sociais e cidadãos necessitam de instrumentos que relacionem evidências territoriais sem expor pessoas ou estigmatizar comunidades.</w:t>
      </w:r>
    </w:p>
    <w:p>
      <w:r>
        <w:t>O reúso responsável amplia a transparência, favorece decisões baseadas em evidências e fortalece políticas de proteção integral, desde que a solução explicite limitações, preserve a agregação estatística e não seja utilizada para vigilância, previsão individual ou classificação de vítimas.</w:t>
      </w:r>
    </w:p>
    <w:p>
      <w:pPr>
        <w:pStyle w:val="Heading1"/>
      </w:pPr>
      <w:r>
        <w:t>3 OBJETIVOS</w:t>
      </w:r>
    </w:p>
    <w:p>
      <w:pPr>
        <w:pStyle w:val="Heading2"/>
      </w:pPr>
      <w:r>
        <w:t>3.1 Objetivo geral</w:t>
      </w:r>
    </w:p>
    <w:p>
      <w:r>
        <w:t>Transformar dados públicos abertos em indicadores territoriais compreensíveis, verificáveis e reutilizáveis para fortalecer a proteção digital infantojuvenil, a transparência pública e o controle social.</w:t>
      </w:r>
    </w:p>
    <w:p>
      <w:pPr>
        <w:pStyle w:val="Heading2"/>
      </w:pPr>
      <w:r>
        <w:t>3.2 Objetivos específicos</w:t>
      </w:r>
    </w:p>
    <w:p>
      <w:pPr>
        <w:pStyle w:val="ListBullet"/>
      </w:pPr>
      <w:r>
        <w:t>integrar dados de direitos humanos, educação e população;</w:t>
      </w:r>
    </w:p>
    <w:p>
      <w:pPr>
        <w:pStyle w:val="ListBullet"/>
      </w:pPr>
      <w:r>
        <w:t>harmonizar códigos territoriais e períodos de referência;</w:t>
      </w:r>
    </w:p>
    <w:p>
      <w:pPr>
        <w:pStyle w:val="ListBullet"/>
      </w:pPr>
      <w:r>
        <w:t>produzir indicadores agregados por unidade federativa;</w:t>
      </w:r>
    </w:p>
    <w:p>
      <w:pPr>
        <w:pStyle w:val="ListBullet"/>
      </w:pPr>
      <w:r>
        <w:t>publicar metodologia, código, dados derivados, limitações e versões;</w:t>
      </w:r>
    </w:p>
    <w:p>
      <w:pPr>
        <w:pStyle w:val="ListBullet"/>
      </w:pPr>
      <w:r>
        <w:t>oferecer interface responsiva, linguagem simples e alternativas textuais;</w:t>
      </w:r>
    </w:p>
    <w:p>
      <w:pPr>
        <w:pStyle w:val="ListBullet"/>
      </w:pPr>
      <w:r>
        <w:t>apoiar gestores, escolas, organizações sociais, pesquisadores, famílias e cidadãos;</w:t>
      </w:r>
    </w:p>
    <w:p>
      <w:pPr>
        <w:pStyle w:val="ListBullet"/>
      </w:pPr>
      <w:r>
        <w:t>evitar identificação, inferência individual, estigmatização e causalidade indevida.</w:t>
      </w:r>
    </w:p>
    <w:p>
      <w:pPr>
        <w:pStyle w:val="Heading1"/>
      </w:pPr>
      <w:r>
        <w:t>4 PÚBLICOS BENEFICIADOS E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0B2A4A"/>
          </w:tcPr>
          <w:p>
            <w:r>
              <w:rPr>
                <w:b/>
                <w:color w:val="FFFFFF"/>
              </w:rPr>
              <w:t>Público</w:t>
            </w:r>
          </w:p>
        </w:tc>
        <w:tc>
          <w:tcPr>
            <w:tcW w:type="dxa" w:w="3135"/>
            <w:shd w:fill="0B2A4A"/>
          </w:tcPr>
          <w:p>
            <w:r>
              <w:rPr>
                <w:b/>
                <w:color w:val="FFFFFF"/>
              </w:rPr>
              <w:t>Necessidade</w:t>
            </w:r>
          </w:p>
        </w:tc>
        <w:tc>
          <w:tcPr>
            <w:tcW w:type="dxa" w:w="3135"/>
            <w:shd w:fill="0B2A4A"/>
          </w:tcPr>
          <w:p>
            <w:r>
              <w:rPr>
                <w:b/>
                <w:color w:val="FFFFFF"/>
              </w:rPr>
              <w:t>Aplicação do Protege.Dados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Gestores públicos</w:t>
            </w:r>
          </w:p>
        </w:tc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Diagnóstico territorial e coordenação intersetorial</w:t>
            </w:r>
          </w:p>
        </w:tc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Comparar indicadores e localizar contextos que demandam análise.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Escolas e educadores</w:t>
            </w:r>
          </w:p>
        </w:tc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Planejamento de cidadania e segurança digital</w:t>
            </w:r>
          </w:p>
        </w:tc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Contextualizar atividades educativas com evidências públicas.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Redes de proteção</w:t>
            </w:r>
          </w:p>
        </w:tc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Compreender capacidade e ocorrência observável</w:t>
            </w:r>
          </w:p>
        </w:tc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Relacionar indicadores sem identificar vítimas ou indivíduos.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Organizações sociais</w:t>
            </w:r>
          </w:p>
        </w:tc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Elaboração de projetos e incidência</w:t>
            </w:r>
          </w:p>
        </w:tc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Produzir diagnósticos e propostas com fontes rastreáveis.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Pesquisadores</w:t>
            </w:r>
          </w:p>
        </w:tc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Dados harmonizados e reproduzíveis</w:t>
            </w:r>
          </w:p>
        </w:tc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Baixar CSV/JSON, consultar método e testar alternativas.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Famílias e cidadãos</w:t>
            </w:r>
          </w:p>
        </w:tc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Compreensão do contexto local</w:t>
            </w:r>
          </w:p>
        </w:tc>
        <w:tc>
          <w:tcPr>
            <w:tcW w:type="dxa" w:w="31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Acessar indicadores, limitações e fontes oficiais.</w:t>
            </w:r>
          </w:p>
        </w:tc>
      </w:tr>
    </w:tbl>
    <w:p>
      <w:pPr>
        <w:pStyle w:val="Heading1"/>
      </w:pPr>
      <w:r>
        <w:t>5 FONTES DE DADOS E RESULTADOS COMPROVADOS</w:t>
      </w:r>
    </w:p>
    <w:p>
      <w:r>
        <w:t>A versão 1.0 utilizou dados do Instituto Brasileiro de Geografia e Estatística (IBGE), do Censo Escolar do Inep/MEC e do Disque 100/ONDH. Os arquivos derivados e os manifestos de integridade estão publicados no repositório público.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shd w:fill="0B2A4A"/>
          </w:tcPr>
          <w:p>
            <w:r>
              <w:rPr>
                <w:b/>
                <w:color w:val="FFFFFF"/>
              </w:rPr>
              <w:t>Base/resultado</w:t>
            </w:r>
          </w:p>
        </w:tc>
        <w:tc>
          <w:tcPr>
            <w:tcW w:type="dxa" w:w="4702"/>
            <w:shd w:fill="0B2A4A"/>
          </w:tcPr>
          <w:p>
            <w:r>
              <w:rPr>
                <w:b/>
                <w:color w:val="FFFFFF"/>
              </w:rPr>
              <w:t>Evidência processada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IBGE 2024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5.571 municípios; população estimada total de 212.583.750 habitantes.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IBGE 2025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5.571 municípios; população estimada total de 213.421.037 habitantes.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Censo Escolar 2024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181.065 escolas ativas; 47.088.922 matrículas; 166.771 escolas com internet; 145.195 escolas com banda larga.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Disque 100 — 2025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294.592 denúncias únicas no recorte infantojuvenil; 27 UFs; 4.900 municípios com código territorial identificado.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Disque 100 — 2º semestre de 2024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144.500 denúncias únicas no recorte infantojuvenil.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IVPD v1.0</w:t>
            </w:r>
          </w:p>
        </w:tc>
        <w:tc>
          <w:tcPr>
            <w:tcW w:type="dxa" w:w="47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27 UFs; três indicadores publicados; sete verificações técnicas aprovadas.</w:t>
            </w:r>
          </w:p>
        </w:tc>
      </w:tr>
    </w:tbl>
    <w:p>
      <w:pPr>
        <w:pStyle w:val="Legenda"/>
      </w:pPr>
      <w:r>
        <w:t>Nota metodológica: os quantitativos apresentados são resultados de processamento dos arquivos recebidos e não representam inferência sobre indivíduos. A ausência de uma base da Anatel no pacote processado impediu a inclusão de conectividade domiciliar na IVPD v1.0.</w:t>
      </w:r>
    </w:p>
    <w:p>
      <w:pPr>
        <w:pStyle w:val="Heading1"/>
      </w:pPr>
      <w:r>
        <w:t>6 METODOLOGIA DA IVPD V1.0</w:t>
      </w:r>
    </w:p>
    <w:p>
      <w:pPr>
        <w:pStyle w:val="Heading2"/>
      </w:pPr>
      <w:r>
        <w:t>6.1 Unidade de análise</w:t>
      </w:r>
    </w:p>
    <w:p>
      <w:r>
        <w:t>A primeira publicação utiliza a unidade federativa como nível territorial, abrangendo as 27 UFs.</w:t>
      </w:r>
    </w:p>
    <w:p>
      <w:pPr>
        <w:pStyle w:val="Heading2"/>
      </w:pPr>
      <w:r>
        <w:t>6.2 Componentes e pesos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351"/>
            <w:shd w:fill="0B2A4A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351"/>
            <w:shd w:fill="0B2A4A"/>
          </w:tcPr>
          <w:p>
            <w:r>
              <w:rPr>
                <w:b/>
                <w:color w:val="FFFFFF"/>
              </w:rPr>
              <w:t>Fonte</w:t>
            </w:r>
          </w:p>
        </w:tc>
        <w:tc>
          <w:tcPr>
            <w:tcW w:type="dxa" w:w="2351"/>
            <w:shd w:fill="0B2A4A"/>
          </w:tcPr>
          <w:p>
            <w:r>
              <w:rPr>
                <w:b/>
                <w:color w:val="FFFFFF"/>
              </w:rPr>
              <w:t>Orientação</w:t>
            </w:r>
          </w:p>
        </w:tc>
        <w:tc>
          <w:tcPr>
            <w:tcW w:type="dxa" w:w="2351"/>
            <w:shd w:fill="0B2A4A"/>
          </w:tcPr>
          <w:p>
            <w:r>
              <w:rPr>
                <w:b/>
                <w:color w:val="FFFFFF"/>
              </w:rPr>
              <w:t>Peso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Taxa de denúncias por 100 mil habitantes</w:t>
            </w:r>
          </w:p>
        </w:tc>
        <w:tc>
          <w:tcPr>
            <w:tcW w:type="dxa" w:w="2351"/>
          </w:tcPr>
          <w:p>
            <w:r>
              <w:t>Disque 100 + IBGE</w:t>
            </w:r>
          </w:p>
        </w:tc>
        <w:tc>
          <w:tcPr>
            <w:tcW w:type="dxa" w:w="2351"/>
          </w:tcPr>
          <w:p>
            <w:r>
              <w:t>maior valor = maior vulnerabilidade observada</w:t>
            </w:r>
          </w:p>
        </w:tc>
        <w:tc>
          <w:tcPr>
            <w:tcW w:type="dxa" w:w="2351"/>
          </w:tcPr>
          <w:p>
            <w:r>
              <w:t>50%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Déficit de internet escolar</w:t>
            </w:r>
          </w:p>
        </w:tc>
        <w:tc>
          <w:tcPr>
            <w:tcW w:type="dxa" w:w="2351"/>
          </w:tcPr>
          <w:p>
            <w:r>
              <w:t>Censo Escolar</w:t>
            </w:r>
          </w:p>
        </w:tc>
        <w:tc>
          <w:tcPr>
            <w:tcW w:type="dxa" w:w="2351"/>
          </w:tcPr>
          <w:p>
            <w:r>
              <w:t>maior déficit = maior vulnerabilidade</w:t>
            </w:r>
          </w:p>
        </w:tc>
        <w:tc>
          <w:tcPr>
            <w:tcW w:type="dxa" w:w="2351"/>
          </w:tcPr>
          <w:p>
            <w:r>
              <w:t>25%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Déficit de banda larga escolar</w:t>
            </w:r>
          </w:p>
        </w:tc>
        <w:tc>
          <w:tcPr>
            <w:tcW w:type="dxa" w:w="2351"/>
          </w:tcPr>
          <w:p>
            <w:r>
              <w:t>Censo Escolar</w:t>
            </w:r>
          </w:p>
        </w:tc>
        <w:tc>
          <w:tcPr>
            <w:tcW w:type="dxa" w:w="2351"/>
          </w:tcPr>
          <w:p>
            <w:r>
              <w:t>maior déficit = maior vulnerabilidade</w:t>
            </w:r>
          </w:p>
        </w:tc>
        <w:tc>
          <w:tcPr>
            <w:tcW w:type="dxa" w:w="2351"/>
          </w:tcPr>
          <w:p>
            <w:r>
              <w:t>25%</w:t>
            </w:r>
          </w:p>
        </w:tc>
      </w:tr>
    </w:tbl>
    <w:p>
      <w:pPr>
        <w:pStyle w:val="Heading2"/>
      </w:pPr>
      <w:r>
        <w:t>6.3 Normalização e sensibilidade</w:t>
      </w:r>
    </w:p>
    <w:p>
      <w:r>
        <w:t>Os indicadores foram normalizados em escala de 0 a 100 por técnica min–max robusta, com limites nos percentis 5 e 95 para reduzir a influência de valores extremos. Os pesos foram explicitados e o eixo foi publicado com aviso de caráter experimental. O repositório permite auditoria e reprodução dos cálculos.</w:t>
      </w:r>
    </w:p>
    <w:p>
      <w:pPr>
        <w:pStyle w:val="Heading2"/>
      </w:pPr>
      <w:r>
        <w:t>6.4 Limitações</w:t>
      </w:r>
    </w:p>
    <w:p>
      <w:pPr>
        <w:pStyle w:val="ListBullet"/>
      </w:pPr>
      <w:r>
        <w:t>A janela temporal combina denúncias e população de 2025 com infraestrutura escolar de 2024.</w:t>
      </w:r>
    </w:p>
    <w:p>
      <w:pPr>
        <w:pStyle w:val="ListBullet"/>
      </w:pPr>
      <w:r>
        <w:t>Registros de denúncia são dados administrativos e não medem prevalência.</w:t>
      </w:r>
    </w:p>
    <w:p>
      <w:pPr>
        <w:pStyle w:val="ListBullet"/>
      </w:pPr>
      <w:r>
        <w:t>O eixo de capacidade territorial de proteção não foi publicado por falta de fonte pública comparável validada.</w:t>
      </w:r>
    </w:p>
    <w:p>
      <w:pPr>
        <w:pStyle w:val="ListBullet"/>
      </w:pPr>
      <w:r>
        <w:t>Não foram realizados testes formais com participantes reais; essa ausência é declarada e não foi convertida em evidência fictícia.</w:t>
      </w:r>
    </w:p>
    <w:p>
      <w:pPr>
        <w:pStyle w:val="Heading1"/>
      </w:pPr>
      <w:r>
        <w:t>7 ARQUITETURA TECNOLÓGICA E REPRODUTIBILIDADE</w:t>
      </w:r>
    </w:p>
    <w:p>
      <w:r>
        <w:t>A solução utiliza pipeline em Python para leitura, validação, harmonização territorial, cálculo e publicação. Os derivados são exportados em CSV e JSON e consumidos por portal estático em HTML, CSS e JavaScript. O código, a documentação, os testes e os manifestos de hashes SHA-256 são públicos.</w:t>
      </w:r>
    </w:p>
    <w:p>
      <w:r>
        <w:t>A maturidade técnica do projeto é reforçada por infraestrutura pública e verificável: o código-fonte está versionado em repositório público no GitHub; o portal está publicado no GitHub Pages; o processo de publicação é automatizado por workflow do GitHub Actions; e cada alteração relevante é registrada por commits, permitindo rastreabilidade, reprodução e auditoria. Esse fluxo configura uma prática de integração e entrega contínuas (CI/CD) adequada ao MVP, reduzindo o risco de divergência entre código, dados derivados e versão publicada.</w:t>
      </w:r>
    </w:p>
    <w:p>
      <w:pPr>
        <w:pStyle w:val="ListBullet"/>
      </w:pPr>
      <w:r>
        <w:t>repositório público com licença e documentação;</w:t>
      </w:r>
    </w:p>
    <w:p>
      <w:pPr>
        <w:pStyle w:val="ListBullet"/>
      </w:pPr>
      <w:r>
        <w:t>versionamento por commits;</w:t>
      </w:r>
    </w:p>
    <w:p>
      <w:pPr>
        <w:pStyle w:val="ListBullet"/>
      </w:pPr>
      <w:r>
        <w:t>workflow GitHub Actions para publicação automática;</w:t>
      </w:r>
    </w:p>
    <w:p>
      <w:pPr>
        <w:pStyle w:val="ListBullet"/>
      </w:pPr>
      <w:r>
        <w:t>GitHub Pages como hospedagem pública gratuita;</w:t>
      </w:r>
    </w:p>
    <w:p>
      <w:pPr>
        <w:pStyle w:val="ListBullet"/>
      </w:pPr>
      <w:r>
        <w:t>dados agregados separados de arquivos brutos;</w:t>
      </w:r>
    </w:p>
    <w:p>
      <w:pPr>
        <w:pStyle w:val="ListBullet"/>
      </w:pPr>
      <w:r>
        <w:t>testes técnicos automatizados e relatório de evidências.</w:t>
      </w:r>
    </w:p>
    <w:p>
      <w:pPr>
        <w:pStyle w:val="Heading1"/>
      </w:pPr>
      <w:r>
        <w:t>ACESSO PÚBLICO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Portal público do MVP</w:t>
            </w:r>
          </w:p>
          <w:p>
            <w:pPr>
              <w:jc w:val="center"/>
            </w:pPr>
            <w:hyperlink r:id="rId12">
              <w:r>
                <w:rPr>
                  <w:color w:val="0563C1"/>
                  <w:u w:val="single"/>
                </w:rPr>
                <w:t>https://anacarvalheiro-ai.github.io/protege-dados/</w:t>
              </w:r>
            </w:hyperlink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sitori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Repositório público</w:t>
            </w:r>
          </w:p>
          <w:p>
            <w:pPr>
              <w:jc w:val="center"/>
            </w:pPr>
            <w:hyperlink r:id="rId14">
              <w:r>
                <w:rPr>
                  <w:color w:val="0563C1"/>
                  <w:u w:val="single"/>
                </w:rPr>
                <w:t>https://github.com/anacarvalheiro-ai/protege-dados</w:t>
              </w:r>
            </w:hyperlink>
          </w:p>
        </w:tc>
      </w:tr>
    </w:tbl>
    <w:p>
      <w:pPr>
        <w:pStyle w:val="Heading2"/>
      </w:pPr>
      <w:r>
        <w:t>7.1 Repositório, versionamento e integração contínua</w:t>
      </w:r>
    </w:p>
    <w:p>
      <w:r>
        <w:t>O repositório público funciona como fonte única de verdade do projeto. Ele reúne código, documentação, dados derivados, testes, manifestos de integridade e histórico de alterações. O GitHub Actions executa o fluxo automatizado de publicação do conteúdo da pasta web no GitHub Pages, enquanto o histórico de commits preserva autoria, data, escopo e evolução das versões. Esse arranjo fortalece transparência, governança técnica, reprodutibilidade e continuidade operacional.</w:t>
      </w:r>
    </w:p>
    <w:p>
      <w:r>
        <w:rPr>
          <w:b/>
        </w:rPr>
        <w:t xml:space="preserve">Portal publicado: </w:t>
      </w:r>
      <w:hyperlink r:id="rId12">
        <w:r>
          <w:rPr>
            <w:color w:val="0563C1"/>
            <w:u w:val="single"/>
          </w:rPr>
          <w:t>https://anacarvalheiro-ai.github.io/protege-dados/</w:t>
        </w:r>
      </w:hyperlink>
    </w:p>
    <w:p>
      <w:r>
        <w:rPr>
          <w:b/>
        </w:rPr>
        <w:t xml:space="preserve">Repositório público: </w:t>
      </w:r>
      <w:hyperlink r:id="rId14">
        <w:r>
          <w:rPr>
            <w:color w:val="0563C1"/>
            <w:u w:val="single"/>
          </w:rPr>
          <w:t>https://github.com/anacarvalheiro-ai/protege-dados</w:t>
        </w:r>
      </w:hyperlink>
    </w:p>
    <w:p>
      <w:pPr>
        <w:pStyle w:val="Heading1"/>
      </w:pPr>
      <w:r>
        <w:t>8 PRIVACIDADE, ÉTICA E SEGURANÇA</w:t>
      </w:r>
    </w:p>
    <w:p>
      <w:r>
        <w:rPr>
          <w:b/>
        </w:rPr>
        <w:t xml:space="preserve">Minimização: </w:t>
      </w:r>
      <w:r>
        <w:t>Processamento restrito às variáveis necessárias à finalidade declarada.</w:t>
      </w:r>
    </w:p>
    <w:p>
      <w:r>
        <w:rPr>
          <w:b/>
        </w:rPr>
        <w:t xml:space="preserve">Agregação: </w:t>
      </w:r>
      <w:r>
        <w:t>Publicação de resultados territoriais agregados, sem identificação de vítimas, denunciantes ou escolas individualizadas.</w:t>
      </w:r>
    </w:p>
    <w:p>
      <w:r>
        <w:rPr>
          <w:b/>
        </w:rPr>
        <w:t xml:space="preserve">Não estigmatização: </w:t>
      </w:r>
      <w:r>
        <w:t>Ausência de ranking simplista e de rótulos determinísticos sobre territórios.</w:t>
      </w:r>
    </w:p>
    <w:p>
      <w:r>
        <w:rPr>
          <w:b/>
        </w:rPr>
        <w:t xml:space="preserve">Supervisão humana: </w:t>
      </w:r>
      <w:r>
        <w:t>Nenhuma decisão automatizada é tomada sobre pessoas ou serviços.</w:t>
      </w:r>
    </w:p>
    <w:p>
      <w:r>
        <w:rPr>
          <w:b/>
        </w:rPr>
        <w:t xml:space="preserve">Rastreabilidade: </w:t>
      </w:r>
      <w:r>
        <w:t>Fontes, períodos, arquivos derivados, hashes e limitações são documentados.</w:t>
      </w:r>
    </w:p>
    <w:p>
      <w:r>
        <w:rPr>
          <w:b/>
        </w:rPr>
        <w:t xml:space="preserve">Uso responsável: </w:t>
      </w:r>
      <w:r>
        <w:t>O portal alerta contra inferência causal, leitura de denúncia como prevalência e reutilização descontextualizada.</w:t>
      </w:r>
    </w:p>
    <w:p>
      <w:pPr>
        <w:pStyle w:val="Heading1"/>
      </w:pPr>
      <w:r>
        <w:t>9 ACESSIBILIDADE E INCLUSIVIDADE</w:t>
      </w:r>
    </w:p>
    <w:p>
      <w:r>
        <w:t>A interface foi concebida segundo princípios de desenho universal e baixo consumo de dados. A versão publicada incorpora navegação por teclado, foco visível, HTML semântico, contraste, responsividade e alternativas textuais para os indicadores. A auditoria formal completa segundo WCAG 2.2 AA e eMAG permanece prevista como atividade de aperfeiçoamento.</w:t>
      </w:r>
    </w:p>
    <w:p>
      <w:pPr>
        <w:pStyle w:val="ListBullet"/>
      </w:pPr>
      <w:r>
        <w:t>linguagem simples e notas de interpretação;</w:t>
      </w:r>
    </w:p>
    <w:p>
      <w:pPr>
        <w:pStyle w:val="ListBullet"/>
      </w:pPr>
      <w:r>
        <w:t>ausência de informação dependente apenas de cor;</w:t>
      </w:r>
    </w:p>
    <w:p>
      <w:pPr>
        <w:pStyle w:val="ListBullet"/>
      </w:pPr>
      <w:r>
        <w:t>visualização responsiva para celulares;</w:t>
      </w:r>
    </w:p>
    <w:p>
      <w:pPr>
        <w:pStyle w:val="ListBullet"/>
      </w:pPr>
      <w:r>
        <w:t>dados em formatos abertos para reutilização;</w:t>
      </w:r>
    </w:p>
    <w:p>
      <w:pPr>
        <w:pStyle w:val="ListBullet"/>
      </w:pPr>
      <w:r>
        <w:t>estrutura compatível com tecnologias assistivas.</w:t>
      </w:r>
    </w:p>
    <w:p>
      <w:pPr>
        <w:pStyle w:val="Heading1"/>
      </w:pPr>
      <w:r>
        <w:t>10 INOVAÇÃO E DIFERENCIAIS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0B2A4A"/>
          </w:tcPr>
          <w:p>
            <w:r>
              <w:rPr>
                <w:b/>
                <w:color w:val="FFFFFF"/>
              </w:rPr>
              <w:t>Abordagem convencional</w:t>
            </w:r>
          </w:p>
        </w:tc>
        <w:tc>
          <w:tcPr>
            <w:tcW w:type="dxa" w:w="4702"/>
            <w:shd w:fill="0B2A4A"/>
          </w:tcPr>
          <w:p>
            <w:r>
              <w:rPr>
                <w:b/>
                <w:color w:val="FFFFFF"/>
              </w:rPr>
              <w:t>Protege.Dados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Bases isoladas</w:t>
            </w:r>
          </w:p>
        </w:tc>
        <w:tc>
          <w:tcPr>
            <w:tcW w:type="dxa" w:w="4702"/>
          </w:tcPr>
          <w:p>
            <w:r>
              <w:t>Integração multissetorial de direitos humanos, educação e população.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Números absolutos</w:t>
            </w:r>
          </w:p>
        </w:tc>
        <w:tc>
          <w:tcPr>
            <w:tcW w:type="dxa" w:w="4702"/>
          </w:tcPr>
          <w:p>
            <w:r>
              <w:t>Taxas, denominadores e normalização documentada.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Ranking territorial</w:t>
            </w:r>
          </w:p>
        </w:tc>
        <w:tc>
          <w:tcPr>
            <w:tcW w:type="dxa" w:w="4702"/>
          </w:tcPr>
          <w:p>
            <w:r>
              <w:t>Índice experimental com salvaguardas e sem classificação determinística.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Painel sem explicação</w:t>
            </w:r>
          </w:p>
        </w:tc>
        <w:tc>
          <w:tcPr>
            <w:tcW w:type="dxa" w:w="4702"/>
          </w:tcPr>
          <w:p>
            <w:r>
              <w:t>Limitações e interpretação incorporadas à experiência.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Produto fechado</w:t>
            </w:r>
          </w:p>
        </w:tc>
        <w:tc>
          <w:tcPr>
            <w:tcW w:type="dxa" w:w="4702"/>
          </w:tcPr>
          <w:p>
            <w:r>
              <w:t>Código, método, CSV/JSON, testes e hashes públicos.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Acessibilidade posterior</w:t>
            </w:r>
          </w:p>
        </w:tc>
        <w:tc>
          <w:tcPr>
            <w:tcW w:type="dxa" w:w="4702"/>
          </w:tcPr>
          <w:p>
            <w:r>
              <w:t>Recursos inclusivos incorporados desde o MVP.</w:t>
            </w:r>
          </w:p>
        </w:tc>
      </w:tr>
    </w:tbl>
    <w:p>
      <w:pPr>
        <w:pStyle w:val="Heading1"/>
      </w:pPr>
      <w:r>
        <w:t>11 IMPACTO, SUSTENTABILIDADE E ESCALABILIDADE</w:t>
      </w:r>
    </w:p>
    <w:p>
      <w:pPr>
        <w:pStyle w:val="Heading2"/>
      </w:pPr>
      <w:r>
        <w:t>11.1 Impacto público</w:t>
      </w:r>
    </w:p>
    <w:p>
      <w:r>
        <w:t>O produto reduz barreiras de acesso a dados complexos e permite que diferentes públicos consultem, questionem e reutilizem evidências territoriais. O impacto deverá ser acompanhado por métricas de acesso, downloads, reutilização, conclusão de tarefas e uso institucional, sem declarar resultados que ainda não foram observados.</w:t>
      </w:r>
    </w:p>
    <w:p>
      <w:pPr>
        <w:pStyle w:val="Heading2"/>
      </w:pPr>
      <w:r>
        <w:t>11.2 Sustentabilidade</w:t>
      </w:r>
    </w:p>
    <w:p>
      <w:r>
        <w:t>O MVP utiliza GitHub público e GitHub Pages, ambos em plano gratuito. O modelo reduz custos de infraestrutura, facilita o versionamento e permite manutenção por ciclos de atualização das fontes.</w:t>
      </w:r>
    </w:p>
    <w:p>
      <w:pPr>
        <w:pStyle w:val="Heading2"/>
      </w:pPr>
      <w:r>
        <w:t>11.3 Escalabilidade</w:t>
      </w:r>
    </w:p>
    <w:p>
      <w:pPr>
        <w:pStyle w:val="ListBullet"/>
      </w:pPr>
      <w:r>
        <w:t>parâmetros por fonte, período e território;</w:t>
      </w:r>
    </w:p>
    <w:p>
      <w:pPr>
        <w:pStyle w:val="ListBullet"/>
      </w:pPr>
      <w:r>
        <w:t>adaptadores independentes por conjunto de dados;</w:t>
      </w:r>
    </w:p>
    <w:p>
      <w:pPr>
        <w:pStyle w:val="ListBullet"/>
      </w:pPr>
      <w:r>
        <w:t>metodologia separada da interface visual;</w:t>
      </w:r>
    </w:p>
    <w:p>
      <w:pPr>
        <w:pStyle w:val="ListBullet"/>
      </w:pPr>
      <w:r>
        <w:t>possibilidade de expansão para séries temporais, municípios e novos grupos, após validação.</w:t>
      </w:r>
    </w:p>
    <w:p>
      <w:pPr>
        <w:pStyle w:val="Heading1"/>
      </w:pPr>
      <w:r>
        <w:t>12 RISCOS E MEDIDAS DE MITIGAÇÃO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B2A4A"/>
          </w:tcPr>
          <w:p>
            <w:r>
              <w:rPr>
                <w:b/>
                <w:color w:val="FFFFFF"/>
              </w:rPr>
              <w:t>Risco</w:t>
            </w:r>
          </w:p>
        </w:tc>
        <w:tc>
          <w:tcPr>
            <w:tcW w:type="dxa" w:w="3135"/>
            <w:shd w:fill="0B2A4A"/>
          </w:tcPr>
          <w:p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3135"/>
            <w:shd w:fill="0B2A4A"/>
          </w:tcPr>
          <w:p>
            <w:r>
              <w:rPr>
                <w:b/>
                <w:color w:val="FFFFFF"/>
              </w:rPr>
              <w:t>Mitigação</w:t>
            </w:r>
          </w:p>
        </w:tc>
      </w:tr>
      <w:tr>
        <w:trPr>
          <w:cantSplit/>
        </w:trPr>
        <w:tc>
          <w:tcPr>
            <w:tcW w:type="dxa" w:w="3135"/>
          </w:tcPr>
          <w:p>
            <w:r>
              <w:t>Mudança de formato da fonte</w:t>
            </w:r>
          </w:p>
        </w:tc>
        <w:tc>
          <w:tcPr>
            <w:tcW w:type="dxa" w:w="3135"/>
          </w:tcPr>
          <w:p>
            <w:r>
              <w:t>Médio/alto</w:t>
            </w:r>
          </w:p>
        </w:tc>
        <w:tc>
          <w:tcPr>
            <w:tcW w:type="dxa" w:w="3135"/>
          </w:tcPr>
          <w:p>
            <w:r>
              <w:t>manifesto, snapshots, adaptadores e testes.</w:t>
            </w:r>
          </w:p>
        </w:tc>
      </w:tr>
      <w:tr>
        <w:trPr>
          <w:cantSplit/>
        </w:trPr>
        <w:tc>
          <w:tcPr>
            <w:tcW w:type="dxa" w:w="3135"/>
          </w:tcPr>
          <w:p>
            <w:r>
              <w:t>Granularidade insuficiente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  <w:tc>
          <w:tcPr>
            <w:tcW w:type="dxa" w:w="3135"/>
          </w:tcPr>
          <w:p>
            <w:r>
              <w:t>reduzir nível territorial ou retirar o indicador.</w:t>
            </w:r>
          </w:p>
        </w:tc>
      </w:tr>
      <w:tr>
        <w:trPr>
          <w:cantSplit/>
        </w:trPr>
        <w:tc>
          <w:tcPr>
            <w:tcW w:type="dxa" w:w="3135"/>
          </w:tcPr>
          <w:p>
            <w:r>
              <w:t>Dupla contagem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  <w:tc>
          <w:tcPr>
            <w:tcW w:type="dxa" w:w="3135"/>
          </w:tcPr>
          <w:p>
            <w:r>
              <w:t>definir unidade, deduplicação e reconciliação.</w:t>
            </w:r>
          </w:p>
        </w:tc>
      </w:tr>
      <w:tr>
        <w:trPr>
          <w:cantSplit/>
        </w:trPr>
        <w:tc>
          <w:tcPr>
            <w:tcW w:type="dxa" w:w="3135"/>
          </w:tcPr>
          <w:p>
            <w:r>
              <w:t>Estigmatização territorial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  <w:tc>
          <w:tcPr>
            <w:tcW w:type="dxa" w:w="3135"/>
          </w:tcPr>
          <w:p>
            <w:r>
              <w:t>sem ranking; contexto, agregação e revisão ética.</w:t>
            </w:r>
          </w:p>
        </w:tc>
      </w:tr>
      <w:tr>
        <w:trPr>
          <w:cantSplit/>
        </w:trPr>
        <w:tc>
          <w:tcPr>
            <w:tcW w:type="dxa" w:w="3135"/>
          </w:tcPr>
          <w:p>
            <w:r>
              <w:t>Falha de acessibilidade</w:t>
            </w:r>
          </w:p>
        </w:tc>
        <w:tc>
          <w:tcPr>
            <w:tcW w:type="dxa" w:w="3135"/>
          </w:tcPr>
          <w:p>
            <w:r>
              <w:t>Alto</w:t>
            </w:r>
          </w:p>
        </w:tc>
        <w:tc>
          <w:tcPr>
            <w:tcW w:type="dxa" w:w="3135"/>
          </w:tcPr>
          <w:p>
            <w:r>
              <w:t>testes manuais e automatizados por versão.</w:t>
            </w:r>
          </w:p>
        </w:tc>
      </w:tr>
      <w:tr>
        <w:trPr>
          <w:cantSplit/>
        </w:trPr>
        <w:tc>
          <w:tcPr>
            <w:tcW w:type="dxa" w:w="3135"/>
          </w:tcPr>
          <w:p>
            <w:r>
              <w:t>Desatualização</w:t>
            </w:r>
          </w:p>
        </w:tc>
        <w:tc>
          <w:tcPr>
            <w:tcW w:type="dxa" w:w="3135"/>
          </w:tcPr>
          <w:p>
            <w:r>
              <w:t>Médio</w:t>
            </w:r>
          </w:p>
        </w:tc>
        <w:tc>
          <w:tcPr>
            <w:tcW w:type="dxa" w:w="3135"/>
          </w:tcPr>
          <w:p>
            <w:r>
              <w:t>calendário de atualização e changelog público.</w:t>
            </w:r>
          </w:p>
        </w:tc>
      </w:tr>
    </w:tbl>
    <w:p>
      <w:pPr>
        <w:pStyle w:val="Heading1"/>
      </w:pPr>
      <w:r>
        <w:t>13 ADERÊNCIA AOS CRITÉRIOS OFICIAIS</w:t>
      </w:r>
    </w:p>
    <w:p>
      <w:r>
        <w:t>A matriz abaixo responde aos critérios e pesos informados pela CGU para o julgamento das iniciativas.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B2A4A"/>
          </w:tcPr>
          <w:p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2351"/>
            <w:shd w:fill="0B2A4A"/>
          </w:tcPr>
          <w:p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2351"/>
            <w:shd w:fill="0B2A4A"/>
          </w:tcPr>
          <w:p>
            <w:r>
              <w:rPr>
                <w:b/>
                <w:color w:val="FFFFFF"/>
              </w:rPr>
              <w:t>Evidência do Protege.Dados</w:t>
            </w:r>
          </w:p>
        </w:tc>
        <w:tc>
          <w:tcPr>
            <w:tcW w:type="dxa" w:w="2351"/>
            <w:shd w:fill="0B2A4A"/>
          </w:tcPr>
          <w:p>
            <w:r>
              <w:rPr>
                <w:b/>
                <w:color w:val="FFFFFF"/>
              </w:rPr>
              <w:t>Anexo/URL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Apresentação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Portal responsivo, memorial ABNT, relatório técnico, caderno de formulário e QR Codes.</w:t>
            </w:r>
          </w:p>
        </w:tc>
        <w:tc>
          <w:tcPr>
            <w:tcW w:type="dxa" w:w="2351"/>
          </w:tcPr>
          <w:p>
            <w:r>
              <w:t>Portal e Anexos A–C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Inovação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Integração multissetorial, IVPD, método aberto e proteção contra estigmatização.</w:t>
            </w:r>
          </w:p>
        </w:tc>
        <w:tc>
          <w:tcPr>
            <w:tcW w:type="dxa" w:w="2351"/>
          </w:tcPr>
          <w:p>
            <w:r>
              <w:t>Seções 6 e 10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Transparência e controle social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Fontes, método, código, derivados, hashes, limitações e canal público.</w:t>
            </w:r>
          </w:p>
        </w:tc>
        <w:tc>
          <w:tcPr>
            <w:tcW w:type="dxa" w:w="2351"/>
          </w:tcPr>
          <w:p>
            <w:r>
              <w:t>Repositório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Foco em pessoas e impacto social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Casos de uso para escolas, gestores, organizações, pesquisadores, famílias e cidadãos.</w:t>
            </w:r>
          </w:p>
        </w:tc>
        <w:tc>
          <w:tcPr>
            <w:tcW w:type="dxa" w:w="2351"/>
          </w:tcPr>
          <w:p>
            <w:r>
              <w:t>Seção 4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Duas ou mais fontes abertas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IBGE, Inep/Censo Escolar e Disque 100/ONDH.</w:t>
            </w:r>
          </w:p>
        </w:tc>
        <w:tc>
          <w:tcPr>
            <w:tcW w:type="dxa" w:w="2351"/>
          </w:tcPr>
          <w:p>
            <w:r>
              <w:t>Seção 5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Ferramentas tecnológicas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Python, HTML, CSS, JavaScript, GitHub Actions e GitHub Pages.</w:t>
            </w:r>
          </w:p>
        </w:tc>
        <w:tc>
          <w:tcPr>
            <w:tcW w:type="dxa" w:w="2351"/>
          </w:tcPr>
          <w:p>
            <w:r>
              <w:t>Seção 7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Inclusividade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Teclado, contraste, semântica, responsividade, linguagem simples e formatos abertos.</w:t>
            </w:r>
          </w:p>
        </w:tc>
        <w:tc>
          <w:tcPr>
            <w:tcW w:type="dxa" w:w="2351"/>
          </w:tcPr>
          <w:p>
            <w:r>
              <w:t>Seção 9</w:t>
            </w:r>
          </w:p>
        </w:tc>
      </w:tr>
    </w:tbl>
    <w:p>
      <w:pPr>
        <w:pStyle w:val="Heading1"/>
      </w:pPr>
      <w:r>
        <w:t>14 PLANO DE APERFEIÇOAMENTO</w:t>
      </w:r>
    </w:p>
    <w:p>
      <w:pPr>
        <w:pStyle w:val="ListNumber"/>
      </w:pPr>
      <w:r>
        <w:t>executar testes de usabilidade com perfis distintos e registrar taxas de conclusão;</w:t>
      </w:r>
    </w:p>
    <w:p>
      <w:pPr>
        <w:pStyle w:val="ListNumber"/>
      </w:pPr>
      <w:r>
        <w:t>realizar auditoria de acessibilidade WCAG 2.2 AA/eMAG;</w:t>
      </w:r>
    </w:p>
    <w:p>
      <w:pPr>
        <w:pStyle w:val="ListNumber"/>
      </w:pPr>
      <w:r>
        <w:t>incorporar fonte comparável para o eixo de capacidade territorial de proteção;</w:t>
      </w:r>
    </w:p>
    <w:p>
      <w:pPr>
        <w:pStyle w:val="ListNumber"/>
      </w:pPr>
      <w:r>
        <w:t>avaliar integração de dados da Anatel e séries temporais;</w:t>
      </w:r>
    </w:p>
    <w:p>
      <w:pPr>
        <w:pStyle w:val="ListNumber"/>
      </w:pPr>
      <w:r>
        <w:t>publicar changelog e relatório periódico de qualidade;</w:t>
      </w:r>
    </w:p>
    <w:p>
      <w:pPr>
        <w:pStyle w:val="ListNumber"/>
      </w:pPr>
      <w:r>
        <w:t>ampliar materiais pedagógicos para escolas e redes de proteção.</w:t>
      </w:r>
    </w:p>
    <w:p>
      <w:pPr>
        <w:pStyle w:val="Heading1"/>
      </w:pPr>
      <w:r>
        <w:t>15 CONCLUSÃO</w:t>
      </w:r>
    </w:p>
    <w:p>
      <w:r>
        <w:t>O Protege.Dados demonstra que o reúso de dados abertos pode produzir valor social sem reduzir a proteção infantojuvenil a rankings ou previsões. A iniciativa combina tecnologia, transparência, rigor metodológico, acessibilidade e responsabilidade ética. Seu diferencial está não apenas na integração de fontes, mas na publicação das decisões, limitações e evidências necessárias para que o produto seja compreendido, auditado e reutilizado.</w:t>
      </w:r>
    </w:p>
    <w:p>
      <w:pPr>
        <w:pStyle w:val="Heading1"/>
      </w:pPr>
      <w:r>
        <w:t>REFERÊNCIAS</w:t>
      </w:r>
    </w:p>
    <w:p>
      <w:pPr>
        <w:spacing w:line="240" w:lineRule="auto" w:after="120"/>
        <w:ind w:firstLine="0" w:left="0"/>
      </w:pPr>
      <w:r>
        <w:t>BRASIL. Controladoria-Geral da União. Concurso de Reúso de Dados Abertos da CGU: 2ª edição. Brasília, DF: CGU, 2026. Disponível em: https://www.gov.br/cgu/pt-br/acesso-a-informacao/dados-abertos/concurso-dados-abertos. Acesso em: 12 jul. 2026.</w:t>
      </w:r>
    </w:p>
    <w:p>
      <w:pPr>
        <w:spacing w:line="240" w:lineRule="auto" w:after="120"/>
        <w:ind w:firstLine="0" w:left="0"/>
      </w:pPr>
      <w:r>
        <w:t>BRASIL. Controladoria-Geral da União. Formulário de inscrição: 2º Concurso de Reúso de Dados Abertos. Brasília, DF: CGU, 2026. Disponível em: https://formularios.cgu.gov.br/index.php/263319?lang=pt-BR. Acesso em: 12 jul. 2026.</w:t>
      </w:r>
    </w:p>
    <w:p>
      <w:pPr>
        <w:spacing w:line="240" w:lineRule="auto" w:after="120"/>
        <w:ind w:firstLine="0" w:left="0"/>
      </w:pPr>
      <w:r>
        <w:t>BRASIL. Portal Brasileiro de Dados Abertos. Saiba como publicar um reúso. Brasília, DF, 2026. Disponível em: https://dados.gov.br/dados/conteudo/saiba-como-publicar-um-reuso. Acesso em: 12 jul. 2026.</w:t>
      </w:r>
    </w:p>
    <w:p>
      <w:pPr>
        <w:spacing w:line="240" w:lineRule="auto" w:after="120"/>
        <w:ind w:firstLine="0" w:left="0"/>
      </w:pPr>
      <w:r>
        <w:t>BRASIL. Lei nº 13.709, de 14 de agosto de 2018. Lei Geral de Proteção de Dados Pessoais (LGPD). Brasília, DF: Presidência da República, 2018.</w:t>
      </w:r>
    </w:p>
    <w:p>
      <w:pPr>
        <w:spacing w:line="240" w:lineRule="auto" w:after="120"/>
        <w:ind w:firstLine="0" w:left="0"/>
      </w:pPr>
      <w:r>
        <w:t>BRASIL. Lei nº 8.069, de 13 de julho de 1990. Estatuto da Criança e do Adolescente. Brasília, DF: Presidência da República, 1990.</w:t>
      </w:r>
    </w:p>
    <w:p>
      <w:pPr>
        <w:spacing w:line="240" w:lineRule="auto" w:after="120"/>
        <w:ind w:firstLine="0" w:left="0"/>
      </w:pPr>
      <w:r>
        <w:t>BRASIL. Instituto Brasileiro de Geografia e Estatística. Estimativas da população. Rio de Janeiro: IBGE, 2024-2025.</w:t>
      </w:r>
    </w:p>
    <w:p>
      <w:pPr>
        <w:spacing w:line="240" w:lineRule="auto" w:after="120"/>
        <w:ind w:firstLine="0" w:left="0"/>
      </w:pPr>
      <w:r>
        <w:t>BRASIL. Instituto Nacional de Estudos e Pesquisas Educacionais Anísio Teixeira. Microdados do Censo Escolar 2024. Brasília, DF: Inep, 2025.</w:t>
      </w:r>
    </w:p>
    <w:p>
      <w:pPr>
        <w:spacing w:line="240" w:lineRule="auto" w:after="120"/>
        <w:ind w:firstLine="0" w:left="0"/>
      </w:pPr>
      <w:r>
        <w:t>BRASIL. Ministério dos Direitos Humanos e da Cidadania. Ouvidoria Nacional de Direitos Humanos: dados do Disque 100. Brasília, DF: MDHC, 2024-2025.</w:t>
      </w:r>
    </w:p>
    <w:p>
      <w:pPr>
        <w:spacing w:line="240" w:lineRule="auto" w:after="120"/>
        <w:ind w:firstLine="0" w:left="0"/>
      </w:pPr>
      <w:r>
        <w:t>CARVALHEIRO, Ana Maria. Protege.Dados: Observatório de Proteção Digital Infantojuvenil. Brasília, DF: Pretos Na Era Digital Ltda., 2026. Disponível em: https://anacarvalheiro-ai.github.io/protege-dados/. Acesso em: 12 jul. 2026.</w:t>
      </w:r>
    </w:p>
    <w:p>
      <w:pPr>
        <w:spacing w:line="240" w:lineRule="auto" w:after="120"/>
        <w:ind w:firstLine="0" w:left="0"/>
      </w:pPr>
      <w:r>
        <w:t>WORLD WIDE WEB CONSORTIUM. Web Content Accessibility Guidelines (WCAG) 2.2. [S. l.]: W3C, 2023.</w:t>
      </w:r>
    </w:p>
    <w:p>
      <w:pPr>
        <w:pStyle w:val="Heading1"/>
      </w:pPr>
      <w:r>
        <w:t>APÊNDICE A — LINKS E QR CODES</w:t>
      </w:r>
    </w:p>
    <w:p>
      <w:pPr>
        <w:pStyle w:val="Heading1"/>
      </w:pPr>
      <w:r>
        <w:t>ACESSO PÚBLICO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Portal público do MVP</w:t>
            </w:r>
          </w:p>
          <w:p>
            <w:pPr>
              <w:jc w:val="center"/>
            </w:pPr>
            <w:hyperlink r:id="rId12">
              <w:r>
                <w:rPr>
                  <w:color w:val="0563C1"/>
                  <w:u w:val="single"/>
                </w:rPr>
                <w:t>https://anacarvalheiro-ai.github.io/protege-dados/</w:t>
              </w:r>
            </w:hyperlink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sitori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Repositório público</w:t>
            </w:r>
          </w:p>
          <w:p>
            <w:pPr>
              <w:jc w:val="center"/>
            </w:pPr>
            <w:hyperlink r:id="rId14">
              <w:r>
                <w:rPr>
                  <w:color w:val="0563C1"/>
                  <w:u w:val="single"/>
                </w:rPr>
                <w:t>https://github.com/anacarvalheiro-ai/protege-dados</w:t>
              </w:r>
            </w:hyperlink>
          </w:p>
        </w:tc>
      </w:tr>
    </w:tbl>
    <w:p>
      <w:pPr>
        <w:pStyle w:val="Heading1"/>
      </w:pPr>
      <w:r>
        <w:t>APÊNDICE B — DECLARAÇÃO DE INTEGRIDADE</w:t>
      </w:r>
    </w:p>
    <w:p>
      <w:r>
        <w:t>Declaro que os quantitativos, resultados e evidências apresentados neste memorial decorrem do processamento dos arquivos utilizados no MVP e dos artefatos publicados no repositório. Itens ainda não executados, especialmente testes formais com usuários e auditoria completa de acessibilidade, são identificados expressamente como pendentes, sem fabricação de evidências.</w:t>
      </w:r>
    </w:p>
    <w:p>
      <w:pPr>
        <w:spacing w:before="700"/>
        <w:jc w:val="center"/>
      </w:pPr>
      <w:r>
        <w:t>Ana Maria Carvalheiro</w:t>
        <w:br/>
        <w:t>Responsável técnica — Pretos Na Era Digital Ltda.</w:t>
        <w:br/>
        <w:t>Brasília/DF, 12 de julho de 2026</w:t>
      </w:r>
    </w:p>
    <w:p>
      <w:pPr>
        <w:spacing w:line="360" w:lineRule="auto"/>
        <w:ind w:firstLine="709"/>
        <w:jc w:val="both"/>
      </w:pPr>
    </w:p>
    <w:p/>
    <w:p>
      <w:pPr>
        <w:spacing w:line="360" w:lineRule="auto"/>
        <w:ind w:firstLine="709"/>
        <w:jc w:val="both"/>
      </w:pPr>
    </w:p>
    <w:p>
      <w:pPr>
        <w:ind w:firstLine="0"/>
      </w:pPr>
    </w:p>
    <w:p>
      <w:pPr>
        <w:ind w:firstLin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0B2A4A"/>
        <w:sz w:val="16"/>
      </w:rPr>
      <w:t>PROTEGE.DADOS  |  PRETOS NA ERA DIGITAL LTDA.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40" w:lineRule="auto"/>
      <w:ind w:firstLine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ind w:firstLine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5A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ind w:firstLine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2A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Arial"/>
      <w:b/>
      <w:color w:val="0B2A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">
    <w:name w:val="Legenda"/>
    <w:pPr>
      <w:spacing w:line="240" w:lineRule="auto"/>
      <w:ind w:firstLine="0"/>
      <w:jc w:val="center"/>
    </w:pPr>
    <w:rPr>
      <w:rFonts w:ascii="Arial" w:hAnsi="Arial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anacarvalheiro-ai.github.io/protege-dados/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github.com/anacarvalheiro-ai/protege-dad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