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</w:rPr>
        <w:t>PRETOS NA ERA DIGITAL LTDA.</w:t>
      </w:r>
    </w:p>
    <w:p>
      <w:pPr>
        <w:spacing w:before="1400"/>
        <w:jc w:val="center"/>
      </w:pPr>
      <w:r>
        <w:rPr>
          <w:b/>
          <w:color w:val="0B2A4A"/>
          <w:sz w:val="52"/>
        </w:rPr>
        <w:t>PROTEGE.DADOS</w:t>
      </w:r>
    </w:p>
    <w:p>
      <w:pPr>
        <w:jc w:val="center"/>
      </w:pPr>
      <w:r>
        <w:rPr>
          <w:b/>
        </w:rPr>
        <w:t>OBSERVATÓRIO DE PROTEÇÃO DIGITAL INFANTOJUVENIL</w:t>
      </w:r>
    </w:p>
    <w:p>
      <w:pPr>
        <w:spacing w:before="600"/>
        <w:jc w:val="center"/>
      </w:pPr>
      <w:r>
        <w:rPr>
          <w:b/>
        </w:rPr>
        <w:t>MATRIZ DE ADERÊNCIA AOS CRITÉRIOS DA CGU</w:t>
      </w:r>
    </w:p>
    <w:p>
      <w:pPr>
        <w:jc w:val="center"/>
      </w:pPr>
      <w:r>
        <w:rPr>
          <w:i/>
        </w:rPr>
        <w:t>Estratégia de avaliação e localização das evidências</w:t>
      </w:r>
    </w:p>
    <w:p>
      <w:pPr>
        <w:spacing w:before="3600"/>
        <w:jc w:val="center"/>
      </w:pPr>
      <w:r>
        <w:t>Ana Maria Carvalheiro</w:t>
        <w:br/>
        <w:t>Brasília/DF</w:t>
        <w:br/>
        <w:t>2026</w:t>
      </w:r>
    </w:p>
    <w:p>
      <w:pPr>
        <w:sectPr>
          <w:headerReference w:type="default" r:id="rId9"/>
          <w:footerReference w:type="default" r:id="rId10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MATRIZ DE JULGAMENTO</w:t>
      </w:r>
    </w:p>
    <w:p>
      <w:r>
        <w:t>A CGU informa sete critérios, com pesos totalizando 11 pontos por avaliador. A matriz demonstra a resposta objetiva do Protege.Dados a cada requisito e indica riscos residuais que devem permanecer transparentes.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blHeader w:val="true"/>
        </w:trPr>
        <w:tc>
          <w:tcPr>
            <w:tcW w:type="dxa" w:w="2914"/>
            <w:shd w:fill="0B2A4A"/>
            <w:vAlign w:val="center"/>
          </w:tcPr>
          <w:p>
            <w:pPr>
              <w:spacing w:line="240" w:lineRule="auto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2914"/>
            <w:shd w:fill="0B2A4A"/>
            <w:vAlign w:val="center"/>
          </w:tcPr>
          <w:p>
            <w:pPr>
              <w:spacing w:line="240" w:lineRule="auto"/>
            </w:pP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2914"/>
            <w:shd w:fill="0B2A4A"/>
            <w:vAlign w:val="center"/>
          </w:tcPr>
          <w:p>
            <w:pPr>
              <w:spacing w:line="240" w:lineRule="auto"/>
            </w:pPr>
            <w:r>
              <w:rPr>
                <w:b/>
                <w:color w:val="FFFFFF"/>
                <w:sz w:val="17"/>
              </w:rPr>
              <w:t>Resposta estratégica</w:t>
            </w:r>
          </w:p>
        </w:tc>
        <w:tc>
          <w:tcPr>
            <w:tcW w:type="dxa" w:w="2914"/>
            <w:shd w:fill="0B2A4A"/>
            <w:vAlign w:val="center"/>
          </w:tcPr>
          <w:p>
            <w:pPr>
              <w:spacing w:line="240" w:lineRule="auto"/>
            </w:pPr>
            <w:r>
              <w:rPr>
                <w:b/>
                <w:color w:val="FFFFFF"/>
                <w:sz w:val="17"/>
              </w:rPr>
              <w:t>Evidência verificável</w:t>
            </w:r>
          </w:p>
        </w:tc>
        <w:tc>
          <w:tcPr>
            <w:tcW w:type="dxa" w:w="2914"/>
            <w:shd w:fill="0B2A4A"/>
            <w:vAlign w:val="center"/>
          </w:tcPr>
          <w:p>
            <w:pPr>
              <w:spacing w:line="240" w:lineRule="auto"/>
            </w:pPr>
            <w:r>
              <w:rPr>
                <w:b/>
                <w:color w:val="FFFFFF"/>
                <w:sz w:val="17"/>
              </w:rPr>
              <w:t>Risco residual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Apresentação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Narrativa clara, identidade institucional, memorial ABNT, painel responsivo e documentos complementares.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/>
            </w:pPr>
            <w:r>
              <w:rPr>
                <w:sz w:val="17"/>
              </w:rPr>
              <w:t>Portal publicado, repositório público, Memorial, QR Codes e caderno do formulário.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Atualizar sumário e converter anexos para PDF antes do envio.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Inovação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Integração multissetorial, IVPD, normalização robusta, método aberto e salvaguardas éticas.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Metodologia, código, painel e relatório técnico.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Eixo de proteção ainda em desenvolvimento.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Transparência e controle social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/>
            </w:pPr>
            <w:r>
              <w:rPr>
                <w:sz w:val="17"/>
              </w:rPr>
              <w:t>Fontes, períodos, derivados, hashes, código, limitações, histórico de commits, versionamento e acesso público.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/>
            </w:pPr>
            <w:r>
              <w:rPr>
                <w:sz w:val="17"/>
              </w:rPr>
              <w:t>Repositório GitHub, GitHub Pages, manifestos, workflow GitHub Actions e relatório técnico.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Cadastrar corretamente o caso de reúso e as URLs das bases.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Foco em pessoas e impacto social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Casos de uso para escolas, redes, gestores, OSCs, pesquisadores e famílias.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Memorial, seção de públicos e casos de uso.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Testes com usuários ainda não realizados.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Duas ou mais fontes abertas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Três grupos de fontes efetivamente integrados.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IBGE, Inep/Censo Escolar e Disque 100/ONDH.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Repetir URLs diretas das bases na Etapa 2.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Ferramentas tecnológicas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/>
            </w:pPr>
            <w:r>
              <w:rPr>
                <w:sz w:val="17"/>
              </w:rPr>
              <w:t>Python, HTML, CSS, JavaScript, GitHub, GitHub Actions, GitHub Pages, CSV/JSON, versionamento e fluxo CI/CD.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/>
            </w:pPr>
            <w:r>
              <w:rPr>
                <w:sz w:val="17"/>
              </w:rPr>
              <w:t>Código, commits, workflow de publicação e portal público.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Manter links e publicação ativos até o julgamento.</w:t>
            </w:r>
          </w:p>
        </w:tc>
      </w:tr>
      <w:tr>
        <w:trPr>
          <w:cantSplit/>
        </w:trPr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Inclusividade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Teclado, foco, contraste, semântica, responsividade, linguagem simples e formatos abertos.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Portal e documentação de acessibilidade.</w:t>
            </w:r>
          </w:p>
        </w:tc>
        <w:tc>
          <w:tcPr>
            <w:tcW w:type="dxa" w:w="2914"/>
            <w:vAlign w:val="center"/>
          </w:tcPr>
          <w:p>
            <w:pPr>
              <w:spacing w:line="240" w:lineRule="auto" w:after="0"/>
            </w:pPr>
            <w:r>
              <w:rPr>
                <w:sz w:val="17"/>
              </w:rPr>
              <w:t>Auditoria formal completa ainda programada.</w:t>
            </w:r>
          </w:p>
        </w:tc>
      </w:tr>
    </w:tbl>
    <w:p>
      <w:pPr>
        <w:spacing w:before="160" w:line="240" w:lineRule="auto"/>
      </w:pPr>
      <w:r>
        <w:rPr>
          <w:b/>
        </w:rPr>
        <w:t xml:space="preserve">Anexos recomendados: </w:t>
      </w:r>
      <w:r>
        <w:t>Memorial Técnico ABNT; Relatório Técnico de Evidências; Matriz de Aderência; capturas do portal; QR Codes; apresentação institucional, caso o campo permita.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PROTEGE.DADOS  |  PRETOS NA ERA DIGITAL LTDA.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