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2400" w:beforeAutospacing="0" w:afterAutospacing="0"/>
        <w:rPr>
          <w:color w:val="000000"/>
        </w:rPr>
      </w:pPr>
    </w:p>
    <w:p>
      <w:pPr>
        <w:spacing w:after="240" w:beforeAutospacing="0" w:afterAutospacing="0"/>
        <w:jc w:val="center"/>
        <w:rPr>
          <w:color w:val="000000"/>
        </w:rPr>
      </w:pPr>
      <w:r>
        <w:rPr>
          <w:b w:val="1"/>
          <w:bCs w:val="1"/>
          <w:color w:val="000000"/>
          <w:sz w:val="44"/>
          <w:szCs w:val="44"/>
        </w:rPr>
        <w:t>RELATÓRIO TÉCNICO</w:t>
      </w:r>
    </w:p>
    <w:p>
      <w:pPr>
        <w:spacing w:after="120" w:beforeAutospacing="0" w:afterAutospacing="0"/>
        <w:jc w:val="center"/>
        <w:rPr>
          <w:color w:val="000000"/>
        </w:rPr>
      </w:pPr>
      <w:r>
        <w:rPr>
          <w:color w:val="000000"/>
          <w:sz w:val="30"/>
          <w:szCs w:val="30"/>
        </w:rPr>
        <w:t>Agente Preditivo Especialista</w:t>
      </w:r>
      <w:r>
        <w:rPr>
          <w:color w:val="000000"/>
          <w:sz w:val="30"/>
          <w:szCs w:val="30"/>
          <w:rtl w:val="0"/>
          <w:lang w:val="pt-BR" w:bidi="pt-BR" w:eastAsia="pt-BR"/>
        </w:rPr>
        <w:t xml:space="preserve"> do</w:t>
      </w:r>
      <w:r>
        <w:rPr>
          <w:color w:val="000000"/>
          <w:sz w:val="30"/>
          <w:szCs w:val="30"/>
        </w:rPr>
        <w:t xml:space="preserve"> Heart Disease</w:t>
      </w:r>
    </w:p>
    <w:p>
      <w:pPr>
        <w:spacing w:after="80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2"/>
          <w:szCs w:val="22"/>
        </w:rPr>
        <w:t>Machine Learning e Inteligência Artificial Generativa aplicados à predição de doença cardíaca</w:t>
      </w:r>
    </w:p>
    <w:p>
      <w:pPr>
        <w:spacing w:after="80" w:beforeAutospacing="0" w:afterAutospacing="0"/>
        <w:jc w:val="center"/>
        <w:rPr>
          <w:color w:val="000000"/>
        </w:rPr>
      </w:pPr>
      <w:r>
        <w:rPr>
          <w:b w:val="1"/>
          <w:bCs w:val="1"/>
          <w:color w:val="000000"/>
          <w:sz w:val="22"/>
          <w:szCs w:val="22"/>
          <w:rtl w:val="0"/>
          <w:lang w:val="pt-BR" w:bidi="pt-BR" w:eastAsia="pt-BR"/>
        </w:rPr>
        <w:t>Alunas</w:t>
      </w:r>
      <w:r>
        <w:rPr>
          <w:b w:val="1"/>
          <w:bCs w:val="1"/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  <w:rtl w:val="0"/>
          <w:lang w:val="pt-BR" w:bidi="pt-BR" w:eastAsia="pt-BR"/>
        </w:rPr>
        <w:t>Ana Carla Londero Cazarotto e Vanessa da Silva</w:t>
      </w:r>
    </w:p>
    <w:p>
      <w:pPr>
        <w:spacing w:after="80" w:beforeAutospacing="0" w:afterAutospacing="0"/>
        <w:jc w:val="center"/>
        <w:rPr>
          <w:color w:val="000000"/>
          <w:sz w:val="22"/>
          <w:szCs w:val="22"/>
          <w:rtl w:val="0"/>
          <w:lang w:val="pt-BR" w:bidi="pt-BR" w:eastAsia="pt-BR"/>
        </w:rPr>
      </w:pPr>
      <w:r>
        <w:rPr>
          <w:b w:val="1"/>
          <w:bCs w:val="1"/>
          <w:color w:val="000000"/>
          <w:sz w:val="22"/>
          <w:szCs w:val="22"/>
        </w:rPr>
        <w:t>Disciplina:</w:t>
      </w:r>
      <w:r>
        <w:rPr>
          <w:color w:val="000000"/>
          <w:sz w:val="22"/>
          <w:szCs w:val="22"/>
        </w:rPr>
        <w:t xml:space="preserve"> Inteligência Artificial</w:t>
      </w:r>
      <w:r>
        <w:rPr>
          <w:color w:val="000000"/>
          <w:sz w:val="22"/>
          <w:szCs w:val="22"/>
          <w:rtl w:val="0"/>
          <w:lang w:val="pt-BR" w:bidi="pt-BR" w:eastAsia="pt-BR"/>
        </w:rPr>
        <w:t xml:space="preserve"> e Sistemas Inteligentes</w:t>
      </w:r>
    </w:p>
    <w:p>
      <w:pPr>
        <w:spacing w:after="80" w:beforeAutospacing="0" w:afterAutospacing="0"/>
        <w:jc w:val="center"/>
        <w:rPr>
          <w:color w:val="000000"/>
        </w:rPr>
      </w:pPr>
      <w:r>
        <w:rPr>
          <w:b w:val="1"/>
          <w:bCs w:val="1"/>
          <w:color w:val="000000"/>
          <w:sz w:val="22"/>
          <w:szCs w:val="22"/>
          <w:rtl w:val="0"/>
          <w:lang w:val="pt-BR" w:bidi="pt-BR" w:eastAsia="pt-BR"/>
        </w:rPr>
        <w:t>Professor:</w:t>
      </w:r>
      <w:r>
        <w:rPr>
          <w:color w:val="000000"/>
          <w:sz w:val="22"/>
          <w:szCs w:val="22"/>
          <w:rtl w:val="0"/>
          <w:lang w:val="pt-BR" w:bidi="pt-BR" w:eastAsia="pt-BR"/>
        </w:rPr>
        <w:t xml:space="preserve"> Jacson Matte</w:t>
      </w:r>
    </w:p>
    <w:p>
      <w:pPr>
        <w:spacing w:after="80" w:beforeAutospacing="0" w:afterAutospacing="0"/>
        <w:jc w:val="center"/>
        <w:rPr>
          <w:color w:val="000000"/>
        </w:rPr>
      </w:pPr>
      <w:r>
        <w:rPr>
          <w:b w:val="1"/>
          <w:bCs w:val="1"/>
          <w:color w:val="000000"/>
          <w:sz w:val="22"/>
          <w:szCs w:val="22"/>
        </w:rPr>
        <w:t>Dataset:</w:t>
      </w:r>
      <w:r>
        <w:rPr>
          <w:color w:val="000000"/>
          <w:sz w:val="22"/>
          <w:szCs w:val="22"/>
        </w:rPr>
        <w:t xml:space="preserve"> Heart Disease (Kaggle/UCI)</w:t>
      </w: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</w:p>
    <w:p>
      <w:pPr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  <w:rtl w:val="0"/>
          <w:lang w:val="pt-BR" w:bidi="pt-BR" w:eastAsia="pt-BR"/>
        </w:rPr>
        <w:t>Chapecó/SC</w:t>
      </w:r>
    </w:p>
    <w:p>
      <w:pPr>
        <w:jc w:val="center"/>
        <w:rPr>
          <w:color w:val="000000"/>
        </w:rPr>
      </w:pPr>
      <w:r>
        <w:rPr>
          <w:color w:val="000000"/>
          <w:sz w:val="22"/>
          <w:szCs w:val="22"/>
        </w:rPr>
        <w:t>2026</w:t>
      </w:r>
      <w:r>
        <w:rPr>
          <w:color w:val="000000"/>
        </w:rPr>
        <w:br w:type="page"/>
      </w:r>
    </w:p>
    <w:p>
      <w:pPr>
        <w:pStyle w:val="P2"/>
        <w:rPr>
          <w:color w:val="000000"/>
        </w:rPr>
      </w:pPr>
      <w:r>
        <w:rPr>
          <w:color w:val="000000"/>
        </w:rPr>
        <w:t>Sumário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>1. Descrição do Problema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>2. Exploração dos Dados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2.1 Pré-processamento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2.2 Mapa de Correlação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2.3 Box Plot das Variáveis Numéricas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 xml:space="preserve">    2.4 Gráficos de Frequência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>3. Modelagem e Comparação de Algoritmos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3.1 Regressão Logística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3.2 KNN (K-Nearest Neighbors)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3.3 MLP (Multi-Layer Perceptron)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3.4 Naive Bayes (novo nesta etapa)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 xml:space="preserve">    3.5 Matrizes de Confusão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>4. Comparação de Métricas e Análise Crítica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4.1 Vantagens e Limitações de Cada Algoritmo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 xml:space="preserve">    4.2 Modelo Selecionado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>5. Arquitetura do Agente Inteligente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5.1 Visão Geral</w:t>
      </w:r>
    </w:p>
    <w:p>
      <w:pPr>
        <w:spacing w:after="80" w:beforeAutospacing="0" w:afterAutospacing="0"/>
        <w:rPr>
          <w:color w:val="000000"/>
        </w:rPr>
      </w:pPr>
      <w:r>
        <w:rPr>
          <w:color w:val="000000"/>
        </w:rPr>
        <w:t xml:space="preserve">    5.2 Tratamento de Falhas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 xml:space="preserve">    5.3 Validação de Dados de Entrada</w:t>
      </w:r>
    </w:p>
    <w:p>
      <w:pPr>
        <w:spacing w:after="120" w:beforeAutospacing="0" w:afterAutospacing="0"/>
        <w:rPr>
          <w:color w:val="000000"/>
        </w:rPr>
      </w:pPr>
      <w:r>
        <w:rPr>
          <w:color w:val="000000"/>
        </w:rPr>
        <w:t>6. Conclusão</w:t>
      </w:r>
    </w:p>
    <w:p>
      <w:pPr>
        <w:rPr>
          <w:color w:val="000000"/>
        </w:rPr>
      </w:pPr>
      <w:r>
        <w:rPr>
          <w:color w:val="000000"/>
        </w:rPr>
        <w:br w:type="page"/>
      </w:r>
    </w:p>
    <w:p>
      <w:pPr>
        <w:pStyle w:val="P2"/>
        <w:rPr>
          <w:color w:val="000000"/>
        </w:rPr>
      </w:pPr>
      <w:r>
        <w:rPr>
          <w:color w:val="000000"/>
        </w:rPr>
        <w:t>1. Descrição do Problema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Doenças cardiovasculares estão entre as principais causas de morte no mundo, e o diagnóstico precoce é fundamental para o início de tratamento adequado e redução de riscos. Este projeto tem como objetivo construir um Agente Preditivo Especialista capaz de estimar, a partir de exames clínicos de um paciente, a probabilidade de presença de doença cardíaca, e de explicar esse resultado em linguagem natural, de forma compreensível e fundamentada, através de um agente de Inteligência Artificial Generativa.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projeto une três frentes complementares: (1) ciência de dados e aprendizado de máquina, para treinar e comparar diferentes algoritmos de classificação; (2) desenvolvimento de back-end, para servir o modelo treinado por meio de uma API e integrá-lo a um agente de IA generativa; e (3) desenvolvimento de front-end, para disponibilizar uma interface acessível ao usuário final.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A base de dados utilizada é o conjunto Heart Disease, disponível no Kaggle/UCI Machine Learning Repository, contendo 303 registros de pacientes e 13 variáveis preditoras (exames clínicos e demográficos), além da variável-alvo binária que indica presença (1) ou ausência (0) de doença cardíaca.</w:t>
      </w:r>
    </w:p>
    <w:p>
      <w:pPr>
        <w:pStyle w:val="P2"/>
        <w:rPr>
          <w:color w:val="000000"/>
        </w:rPr>
      </w:pPr>
      <w:r>
        <w:rPr>
          <w:color w:val="000000"/>
        </w:rPr>
        <w:t>2. Exploração dos Dados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Antes da modelagem, foi realizada uma análise exploratória dos dados (EDA) para compreender a distribuição das variáveis, identificar possíveis inconsistências e avaliar a relação entre os atributos e a variável-alvo.</w:t>
      </w:r>
    </w:p>
    <w:p>
      <w:pPr>
        <w:pStyle w:val="P3"/>
        <w:rPr>
          <w:color w:val="000000"/>
        </w:rPr>
      </w:pPr>
      <w:r>
        <w:rPr>
          <w:color w:val="000000"/>
        </w:rPr>
        <w:t>2.1 Pré-processamento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dataset não apresentou valores nulos. Foi identificada e removida 1 linha duplicada, restando 302 registros únicos para a modelagem. A variável-alvo apresenta distribuição relativamente balanceada (165 casos positivos e 138 negativos, aproximadamente 54%/46%), o que dispensa técnicas de balanceamento de classes.</w:t>
      </w:r>
    </w:p>
    <w:p>
      <w:pPr>
        <w:spacing w:after="160" w:beforeAutospacing="0" w:afterAutospacing="0"/>
        <w:jc w:val="both"/>
        <w:rPr>
          <w:color w:val="000000"/>
        </w:rPr>
      </w:pPr>
      <w:r>
        <w:rPr>
          <w:color w:val="000000"/>
        </w:rPr>
        <w:t>Os dados foram divididos em 80% para treino e 20% para teste, com estratificação pela variável-alvo para preservar a proporção de classes em ambos os conjuntos. Em seguida, todas as variáveis foram normalizadas com MinMaxScaler (intervalo [0, 1]), etapa necessária pois atributos como colesterol (mg/dl) e pressão arterial (mmHg) possuem escalas muito maiores que variáveis binárias (0/1), o que distorceria o cálculo de distância no KNN e a convergência do MLP.</w:t>
      </w:r>
    </w:p>
    <w:p>
      <w:pPr>
        <w:pStyle w:val="P3"/>
        <w:rPr>
          <w:color w:val="000000"/>
        </w:rPr>
      </w:pPr>
      <w:r>
        <w:rPr>
          <w:color w:val="000000"/>
        </w:rPr>
        <w:t>2.2 Mapa de Correlação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mapa de correlação (Figura 1) permite identificar quais variáveis possuem maior associação linear entre si e com a variável-alvo. Variáveis como 'cp' (tipo de dor no peito), 'thalach' (frequência cardíaca máxima) e 'exang' (angina induzida por exercício) apresentam as correlações mais relevantes com o diagnóstico.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4314825" cy="3533775"/>
            <wp:effectExtent l="0" t="0" r="0" b="0"/>
            <wp:docPr id="1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53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1 — Mapa de correlação entre as variáveis do dataset.</w:t>
      </w:r>
    </w:p>
    <w:p>
      <w:pPr>
        <w:pStyle w:val="P3"/>
        <w:rPr>
          <w:color w:val="000000"/>
        </w:rPr>
      </w:pPr>
      <w:r>
        <w:rPr>
          <w:color w:val="000000"/>
        </w:rPr>
        <w:t>2.3 Box Plot das Variáveis Numéricas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box plot (Figura 2) evidencia a distribuição, dispersão e presença de outliers nas principais variáveis numéricas contínuas do dataset: idade, pressão arterial em repouso, colesterol, frequência cardíaca máxima e a depressão do segmento ST (oldpeak). Observam-se outliers pontuais em colesterol e pressão arterial, compatíveis com a variabilidade clínica esperada nesse tipo de exame.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5943600" cy="1924050"/>
            <wp:effectExtent l="0" t="0" r="0" b="0"/>
            <wp:docPr id="2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21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2 — Box plot das variáveis numéricas.</w:t>
      </w:r>
    </w:p>
    <w:p>
      <w:pPr>
        <w:pStyle w:val="P3"/>
        <w:rPr>
          <w:color w:val="000000"/>
        </w:rPr>
      </w:pPr>
      <w:r>
        <w:rPr>
          <w:color w:val="000000"/>
        </w:rPr>
        <w:t>2.4 Gráficos de Frequência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Os histogramas por classe (Figura 3) mostram como cada variável numérica se distribui entre pacientes com e sem doença cardíaca, e o gráfico de contagem final apresenta a frequência da variável-alvo, confirmando o balanceamento das classes.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5943600" cy="3648075"/>
            <wp:effectExtent l="0" t="0" r="0" b="0"/>
            <wp:docPr id="3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23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4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3 — Distribuição das variáveis numéricas por classe e frequência da variável-alvo.</w:t>
      </w:r>
    </w:p>
    <w:p>
      <w:pPr>
        <w:rPr>
          <w:color w:val="000000"/>
        </w:rPr>
      </w:pPr>
      <w:r>
        <w:rPr>
          <w:color w:val="000000"/>
        </w:rPr>
        <w:br w:type="page"/>
      </w:r>
    </w:p>
    <w:p>
      <w:pPr>
        <w:pStyle w:val="P2"/>
        <w:rPr>
          <w:color w:val="000000"/>
        </w:rPr>
      </w:pPr>
      <w:r>
        <w:rPr>
          <w:color w:val="000000"/>
        </w:rPr>
        <w:t>3. Modelagem e Comparação de Algoritmos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Foram treinados e comparados quatro algoritmos de classificação supervisionada. Para os algoritmos com hiperparâmetros relevantes (KNN e MLP), foi utilizado GridSearchCV com validação cruzada (5 folds) para a escolha da melhor configuração.</w:t>
      </w:r>
    </w:p>
    <w:p>
      <w:pPr>
        <w:pStyle w:val="P3"/>
        <w:rPr>
          <w:color w:val="000000"/>
        </w:rPr>
      </w:pPr>
      <w:r>
        <w:rPr>
          <w:color w:val="000000"/>
        </w:rPr>
        <w:t>3.1 Regressão Logística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Observação metodológica: o enunciado do trabalho menciona 'Regressão Linear Múltipla'. Como o problema tratado é de classificação binária (presença/ausência de doença), e não de previsão de um valor contínuo, o algoritmo linear adequado é a Regressão Logística — que aplica a função sigmoide sobre a combinação linear das variáveis para estimar a probabilidade da classe positiva. A Regressão Linear pura não é adequada a problemas de classificação, razão pela qual foi mantida a Regressão Logística, já utilizada no trabalho anterior da equipe.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Foram testados diferentes valores do hiperparâmetro de regularização C (0,01 a 100), e o modelo com C=1 apresentou o melhor desempenho no conjunto de teste.</w:t>
      </w:r>
    </w:p>
    <w:p>
      <w:pPr>
        <w:pStyle w:val="P3"/>
        <w:rPr>
          <w:color w:val="000000"/>
        </w:rPr>
      </w:pPr>
      <w:r>
        <w:rPr>
          <w:color w:val="000000"/>
        </w:rPr>
        <w:t>3.2 KNN (K-Nearest Neighbors)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KNN classifica uma nova amostra com base na classe majoritária entre seus K vizinhos mais próximos no espaço de atributos normalizados. A busca em grade (K ímpar, de 1 a 21) identificou K=9 como a melhor configuração, segundo a acurácia média obtida por validação cruzada.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3810000" cy="1866900"/>
            <wp:effectExtent l="0" t="0" r="0" b="0"/>
            <wp:docPr id="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5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4 — Acurácia média (validação cruzada) por valor de K.</w:t>
      </w:r>
    </w:p>
    <w:p>
      <w:pPr>
        <w:pStyle w:val="P3"/>
        <w:rPr>
          <w:color w:val="000000"/>
        </w:rPr>
      </w:pPr>
      <w:r>
        <w:rPr>
          <w:color w:val="000000"/>
        </w:rPr>
        <w:t>3.3 MLP (Multi-Layer Perceptron)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MLP é uma rede neural artificial composta por uma ou mais camadas ocultas de neurônios, capaz de capturar relações não-lineares complexas entre as variáveis. Foram testadas diferentes arquiteturas (uma a três camadas ocultas, com 30 a 100 neurônios) e funções de ativação (ReLU e tangente hiperbólica). A configuração com uma única camada oculta de 50 neurônios e ativação ReLU apresentou o melhor desempenho médio em validação cruzada.</w:t>
      </w:r>
    </w:p>
    <w:p>
      <w:pPr>
        <w:pStyle w:val="P3"/>
        <w:rPr>
          <w:color w:val="000000"/>
        </w:rPr>
      </w:pPr>
      <w:r>
        <w:rPr>
          <w:color w:val="000000"/>
        </w:rPr>
        <w:t>3.4 Naive Bayes (novo nesta etapa)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Naive Bayes é um classificador probabilístico fundamentado no Teorema de Bayes, que assume independência condicional entre as variáveis preditoras dado o valor da classe — uma simplificação 'ingênua', mas que na prática costuma funcionar bem mesmo quando essa independência não é estritamente verdadeira. Como as variáveis do dataset são predominantemente numéricas contínuas, foi utilizada a variante Gaussiana (GaussianNB), que modela a distribuição de cada atributo, dentro de cada classe, como uma distribuição normal.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Naive Bayes não exige busca de hiperparâmetros, sendo extremamente rápido para treinar e prever — uma vantagem relevante considerando o tamanho reduzido do dataset (302 registros).</w:t>
      </w:r>
    </w:p>
    <w:p>
      <w:pPr>
        <w:pStyle w:val="P3"/>
        <w:rPr>
          <w:color w:val="000000"/>
        </w:rPr>
      </w:pPr>
      <w:r>
        <w:rPr>
          <w:color w:val="000000"/>
        </w:rPr>
        <w:t>3.5 Matrizes de Confusão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2286000" cy="1704975"/>
            <wp:effectExtent l="0" t="0" r="0" b="0"/>
            <wp:docPr id="5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27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04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5 — Matriz de confusão: Regressão Logística.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2286000" cy="1695450"/>
            <wp:effectExtent l="0" t="0" r="0" b="0"/>
            <wp:docPr id="6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29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6 — Matriz de confusão: KNN (K=9).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2286000" cy="1695450"/>
            <wp:effectExtent l="0" t="0" r="0" b="0"/>
            <wp:docPr id="7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31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7 — Matriz de confusão: MLP.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2286000" cy="1704975"/>
            <wp:effectExtent l="0" t="0" r="0" b="0"/>
            <wp:docPr id="8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33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04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8 — Matriz de confusão: Naive Bayes.</w:t>
      </w:r>
    </w:p>
    <w:p>
      <w:pPr>
        <w:rPr>
          <w:color w:val="000000"/>
        </w:rPr>
      </w:pPr>
      <w:r>
        <w:rPr>
          <w:color w:val="000000"/>
        </w:rPr>
        <w:br w:type="page"/>
      </w:r>
    </w:p>
    <w:p>
      <w:pPr>
        <w:pStyle w:val="P2"/>
        <w:rPr>
          <w:color w:val="000000"/>
        </w:rPr>
      </w:pPr>
      <w:r>
        <w:rPr>
          <w:color w:val="000000"/>
        </w:rPr>
        <w:t>4. Comparação de Métricas e Análise Crítica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As métricas de avaliação foram calculadas sobre o conjunto de teste (20% dos dados, nunca utilizado no treinamento). A Tabela 1 resume os resultados:</w:t>
      </w:r>
    </w:p>
    <w:p>
      <w:pPr>
        <w:spacing w:before="120" w:after="120" w:beforeAutospacing="0" w:afterAutospacing="0"/>
        <w:rPr>
          <w:color w:val="000000"/>
        </w:rPr>
      </w:pPr>
    </w:p>
    <w:tbl>
      <w:tblPr>
        <w:tblW w:w="936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455"/>
        <w:gridCol w:w="1263"/>
        <w:gridCol w:w="1529"/>
        <w:gridCol w:w="1640"/>
        <w:gridCol w:w="1261"/>
        <w:gridCol w:w="1212"/>
      </w:tblGrid>
      <w:tr>
        <w:trPr>
          <w:tblHeader/>
        </w:trPr>
        <w:tc>
          <w:tcPr>
            <w:tcW w:w="2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Acurácia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Sensibilidade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Especificidade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Precisão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F1-Score</w:t>
            </w:r>
          </w:p>
        </w:tc>
      </w:tr>
      <w:tr>
        <w:tc>
          <w:tcPr>
            <w:tcW w:w="2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Regressão Logística (C=1)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78,69%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90,91%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64,29%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75,00%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0,8219</w:t>
            </w:r>
          </w:p>
        </w:tc>
      </w:tr>
      <w:tr>
        <w:tc>
          <w:tcPr>
            <w:tcW w:w="2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KNN (K=9)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77,05%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84,85%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67,86%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75,68%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0,8000</w:t>
            </w:r>
          </w:p>
        </w:tc>
      </w:tr>
      <w:tr>
        <w:tc>
          <w:tcPr>
            <w:tcW w:w="2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MLP (50,) relu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80,33%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87,88%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71,43%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78,38%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0,8286</w:t>
            </w:r>
          </w:p>
        </w:tc>
      </w:tr>
      <w:tr>
        <w:tc>
          <w:tcPr>
            <w:tcW w:w="2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Naive Bayes (Gaussian)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81,97%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90,91%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71,43%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78,95%</w:t>
            </w:r>
          </w:p>
        </w:tc>
        <w:tc>
          <w:tcPr>
            <w:tcW w:w="1312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0,8451</w:t>
            </w:r>
          </w:p>
        </w:tc>
      </w:tr>
    </w:tbl>
    <w:p>
      <w:pPr>
        <w:spacing w:before="160" w:after="240" w:beforeAutospacing="0" w:afterAutospacing="0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Tabela 1 — Comparação de métricas entre os quatro algoritmos. Naive Bayes (destacado) obteve a maior acurácia.</w:t>
      </w:r>
    </w:p>
    <w:p>
      <w:pPr>
        <w:spacing w:before="120" w:after="80" w:beforeAutospacing="0" w:afterAutospacing="0"/>
        <w:jc w:val="center"/>
        <w:rPr>
          <w:color w:val="000000"/>
        </w:rPr>
      </w:pPr>
      <w:r>
        <w:rPr>
          <w:color w:val="000000"/>
        </w:rPr>
        <w:drawing>
          <wp:inline xmlns:wp="http://schemas.openxmlformats.org/drawingml/2006/wordprocessingDrawing" distT="0" distB="0" distL="0" distR="0">
            <wp:extent cx="4314825" cy="1943100"/>
            <wp:effectExtent l="0" t="0" r="0" b="0"/>
            <wp:docPr id="9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35"/>
                    <pic:cNvPicPr>
                      <a:picLocks noChangeAspect="1" noChangeArrowheads="1"/>
                    </pic:cNvPicPr>
                  </pic:nvPicPr>
                  <pic:blipFill dpi="0">
                    <a:blip xmlns:r="http://schemas.openxmlformats.org/officeDocument/2006/relationships" r:embed="Relimage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194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Autospacing="0" w:afterAutospacing="0"/>
        <w:jc w:val="center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Figura 9 — Comparação visual das métricas entre os quatro algoritmos.</w:t>
      </w:r>
    </w:p>
    <w:p>
      <w:pPr>
        <w:pStyle w:val="P3"/>
        <w:rPr>
          <w:color w:val="000000"/>
        </w:rPr>
      </w:pPr>
      <w:r>
        <w:rPr>
          <w:color w:val="000000"/>
        </w:rPr>
        <w:t>4.1 Vantagens e Limitações de Cada Algoritmo</w:t>
      </w:r>
    </w:p>
    <w:p>
      <w:pPr>
        <w:pStyle w:val="P9"/>
        <w:numPr>
          <w:ilvl w:val="0"/>
          <w:numId w:val="2"/>
        </w:numPr>
        <w:spacing w:after="80" w:beforeAutospacing="0" w:afterAutospacing="0"/>
        <w:rPr>
          <w:color w:val="000000"/>
        </w:rPr>
      </w:pPr>
      <w:r>
        <w:rPr>
          <w:color w:val="000000"/>
        </w:rPr>
        <w:t>Regressão Logística — Vantagens: simples, rápida, altamente interpretável (coeficientes indicam a direção e força da influência de cada variável). Limitações: assume uma relação linear entre as variáveis e o log-odds da classe, podendo não capturar padrões mais complexos.</w:t>
      </w:r>
    </w:p>
    <w:p>
      <w:pPr>
        <w:pStyle w:val="P9"/>
        <w:numPr>
          <w:ilvl w:val="0"/>
          <w:numId w:val="2"/>
        </w:numPr>
        <w:spacing w:after="80" w:beforeAutospacing="0" w:afterAutospacing="0"/>
        <w:rPr>
          <w:color w:val="000000"/>
        </w:rPr>
      </w:pPr>
      <w:r>
        <w:rPr>
          <w:color w:val="000000"/>
        </w:rPr>
        <w:t>KNN — Vantagens: não-paramétrico, captura padrões não-lineares localmente, simples de entender. Limitações: sensível à escala dos dados e a outliers; custo computacional cresce com o tamanho da base; exige escolher cuidadosamente o valor de K.</w:t>
      </w:r>
    </w:p>
    <w:p>
      <w:pPr>
        <w:pStyle w:val="P9"/>
        <w:numPr>
          <w:ilvl w:val="0"/>
          <w:numId w:val="2"/>
        </w:numPr>
        <w:spacing w:after="80" w:beforeAutospacing="0" w:afterAutospacing="0"/>
        <w:rPr>
          <w:color w:val="000000"/>
        </w:rPr>
      </w:pPr>
      <w:r>
        <w:rPr>
          <w:color w:val="000000"/>
        </w:rPr>
        <w:t>MLP — Vantagens: capaz de aprender relações não-lineares complexas entre as variáveis. Limitações: funciona como uma 'caixa-preta' (baixa interpretabilidade), exige mais dados e ajuste de hiperparâmetros para evitar overfitting, e é mais sensível a variações aleatórias de inicialização em bases pequenas como esta.</w:t>
      </w:r>
    </w:p>
    <w:p>
      <w:pPr>
        <w:pStyle w:val="P9"/>
        <w:numPr>
          <w:ilvl w:val="0"/>
          <w:numId w:val="2"/>
        </w:numPr>
        <w:spacing w:after="80" w:beforeAutospacing="0" w:afterAutospacing="0"/>
        <w:rPr>
          <w:color w:val="000000"/>
        </w:rPr>
      </w:pPr>
      <w:r>
        <w:rPr>
          <w:color w:val="000000"/>
        </w:rPr>
        <w:t>Naive Bayes — Vantagens: extremamente rápido para treinar e prever, robusto mesmo com poucos dados, fornece probabilidades bem calibradas na maioria dos casos. Limitações: assume independência condicional entre as variáveis, premissa raramente verdadeira na prática (por exemplo, colesterol e idade tendem a ser correlacionados), o que pode comprometer a precisão em datasets com forte dependência entre atributos.</w:t>
      </w:r>
    </w:p>
    <w:p>
      <w:pPr>
        <w:pStyle w:val="P3"/>
        <w:rPr>
          <w:color w:val="000000"/>
        </w:rPr>
      </w:pPr>
      <w:r>
        <w:rPr>
          <w:color w:val="000000"/>
        </w:rPr>
        <w:t>4.2 Modelo Selecionado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Considerando a acurácia no conjunto de teste como critério principal de seleção, o algoritmo Naive Bayes (Gaussian) apresentou o melhor desempenho geral (81,97% de acurácia, 90,91% de sensibilidade e F1-Score de 0,8451), sendo o modelo exportado e integrado ao backend da aplicação. Vale destacar que a sensibilidade — capacidade de identificar corretamente os pacientes que de fato possuem a doença — é especialmente relevante neste contexto clínico, pois um falso negativo (não detectar a doença) tende a ser mais custoso que um falso positivo.</w:t>
      </w:r>
    </w:p>
    <w:p>
      <w:pPr>
        <w:rPr>
          <w:color w:val="000000"/>
        </w:rPr>
      </w:pPr>
      <w:r>
        <w:rPr>
          <w:color w:val="000000"/>
        </w:rPr>
        <w:br w:type="page"/>
      </w:r>
    </w:p>
    <w:p>
      <w:pPr>
        <w:pStyle w:val="P2"/>
        <w:rPr>
          <w:color w:val="000000"/>
        </w:rPr>
      </w:pPr>
      <w:r>
        <w:rPr>
          <w:color w:val="000000"/>
        </w:rPr>
        <w:t>5. Arquitetura do Agente Inteligente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A solução final foi estruturada em três camadas que se comunicam via API REST, conforme descrito a seguir.</w:t>
      </w:r>
    </w:p>
    <w:p>
      <w:pPr>
        <w:pStyle w:val="P3"/>
        <w:rPr>
          <w:color w:val="000000"/>
        </w:rPr>
      </w:pPr>
      <w:r>
        <w:rPr>
          <w:color w:val="000000"/>
        </w:rPr>
        <w:t>5.1 Visão Geral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1) O notebook de Machine Learning treina e compara os quatro algoritmos e exporta automaticamente o modelo de melhor desempenho (modelo_final.pkl), o normalizador (scaler.pkl) e os metadados de avaliação (metadados.json).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2) O backend, desenvolvido em FastAPI, carrega esses artefatos na inicialização e expõe o endpoint POST /predict, que recebe os dados de um paciente, aplica a normalização, executa a predição com o modelo Naive Bayes e monta um prompt estruturado com o resultado, as probabilidades e as métricas reais do modelo.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3) Esse prompt é enviado à API do Gemini (modelo gemini-2.0-flash), configurada com um System Prompt que instrui o agente a: (i) deixar claro que se trata de uma estimativa estatística e não de um diagnóstico médico; (ii) utilizar exclusivamente os dados fornecidos no prompt, sem inventar exames, causas ou recomendações de tratamento; (iii) mencionar o nível de confiabilidade do modelo com base nas métricas reais informadas; e (iv) responder em português, de forma clara e em no máximo dois parágrafos. A temperatura da geração foi definida em 0,3 para priorizar respostas factuais e reduzir a variabilidade criativa.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4) O frontend, desenvolvido em Streamlit, oferece um formulário para entrada dos dados clínicos do paciente, envia a requisição ao backend e exibe tanto o resultado bruto do modelo (classe prevista e probabilidades) quanto a explicação gerada pelo agente de IA.</w:t>
      </w:r>
    </w:p>
    <w:p>
      <w:pPr>
        <w:pStyle w:val="P3"/>
        <w:rPr>
          <w:color w:val="000000"/>
        </w:rPr>
      </w:pPr>
      <w:r>
        <w:rPr>
          <w:color w:val="000000"/>
        </w:rPr>
        <w:t>5.2 Tratamento de Falhas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Caso a API do Gemini esteja indisponível ou a chave não esteja configurada, o backend continua retornando normalmente o resultado bruto da predição, exibindo uma mensagem informativa no lugar da explicação textual</w:t>
      </w:r>
      <w:r>
        <w:rPr>
          <w:color w:val="000000"/>
          <w:rtl w:val="0"/>
          <w:lang w:val="pt-BR" w:bidi="pt-BR" w:eastAsia="pt-BR"/>
        </w:rPr>
        <w:t>,</w:t>
      </w:r>
      <w:r>
        <w:rPr>
          <w:color w:val="000000"/>
        </w:rPr>
        <w:t xml:space="preserve"> garantindo que a funcionalidade essencial (predição) não dependa de um serviço externo para funcionar.</w:t>
      </w:r>
    </w:p>
    <w:p>
      <w:pPr>
        <w:pStyle w:val="P3"/>
        <w:rPr>
          <w:color w:val="000000"/>
        </w:rPr>
      </w:pPr>
      <w:r>
        <w:rPr>
          <w:color w:val="000000"/>
        </w:rPr>
        <w:t>5.3 Validação de Dados de Entrada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Todos os campos recebidos pela API são validados via Pydantic, com limites mínimos e máximos definidos a partir do dicionário de variáveis do dataset (Tabela 2), rejeitando automaticamente entradas fora dos intervalos clinicamente plausíveis.</w:t>
      </w:r>
    </w:p>
    <w:p>
      <w:pPr>
        <w:spacing w:before="120" w:after="120" w:beforeAutospacing="0" w:afterAutospacing="0"/>
        <w:rPr>
          <w:color w:val="000000"/>
        </w:rPr>
      </w:pPr>
    </w:p>
    <w:tbl>
      <w:tblPr>
        <w:tblW w:w="936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800"/>
        <w:gridCol w:w="5160"/>
        <w:gridCol w:w="2400"/>
      </w:tblGrid>
      <w:tr>
        <w:trPr>
          <w:tblHeader/>
        </w:trP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Variável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b w:val="1"/>
                <w:bCs w:val="1"/>
                <w:color w:val="FFFFFF"/>
                <w:sz w:val="20"/>
                <w:szCs w:val="20"/>
              </w:rPr>
              <w:t>Valores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Idade do paciente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anos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sex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Sexo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 = masculino, 0 = feminino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cp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Tipo de dor no peito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 a 3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trestbps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Pressão arterial em repouso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mmHg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chol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Colesterol sérico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mg/dl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fbs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Glicemia de jejum &gt; 120 mg/dl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 = sim, 0 = não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restecg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Resultado do ECG em repouso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 a 2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thalach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Frequência cardíaca máxima atingida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bpm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exang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Angina induzida por exercício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 = sim, 0 = não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oldpeak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Depressão do segmento ST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valor numérico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slope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Inclinação do segmento ST no pico do exercício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 a 2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ca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Número de vasos principais (fluoroscopia)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 a 4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thal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Talassemia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 a 3</w:t>
            </w:r>
          </w:p>
        </w:tc>
      </w:tr>
      <w:tr>
        <w:tc>
          <w:tcPr>
            <w:tcW w:w="18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target</w:t>
            </w:r>
          </w:p>
        </w:tc>
        <w:tc>
          <w:tcPr>
            <w:tcW w:w="516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Diagnóstico (variável alvo)</w:t>
            </w:r>
          </w:p>
        </w:tc>
        <w:tc>
          <w:tcPr>
            <w:tcW w:w="2400" w:type="dxa"/>
            <w:tcBorders>
              <w:top w:val="single" w:sz="0" w:space="0" w:shadow="0" w:frame="0" w:color="CCCCCC"/>
              <w:left w:val="single" w:sz="0" w:space="0" w:shadow="0" w:frame="0" w:color="CCCCCC"/>
              <w:bottom w:val="single" w:sz="0" w:space="0" w:shadow="0" w:frame="0" w:color="CCCCCC"/>
              <w:right w:val="single" w:sz="0" w:space="0" w:shadow="0" w:fram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  <w:rPr>
                <w:color w:val="00000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 = doença, 0 = ausência</w:t>
            </w:r>
          </w:p>
        </w:tc>
      </w:tr>
    </w:tbl>
    <w:p>
      <w:pPr>
        <w:spacing w:before="160" w:after="240" w:beforeAutospacing="0" w:afterAutospacing="0"/>
        <w:rPr>
          <w:color w:val="000000"/>
        </w:rPr>
      </w:pPr>
      <w:r>
        <w:rPr>
          <w:i w:val="1"/>
          <w:iCs w:val="1"/>
          <w:color w:val="000000"/>
          <w:sz w:val="20"/>
          <w:szCs w:val="20"/>
        </w:rPr>
        <w:t>Tabela 2 — Dicionário de variáveis do dataset Heart Disease.</w:t>
      </w:r>
    </w:p>
    <w:p>
      <w:pPr>
        <w:pStyle w:val="P2"/>
        <w:rPr>
          <w:color w:val="000000"/>
        </w:rPr>
      </w:pPr>
      <w:r>
        <w:rPr>
          <w:color w:val="000000"/>
        </w:rPr>
        <w:t>6. Conclusão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O projeto demonstrou, de ponta a ponta, a construção de um agente preditivo especialista: desde a exploração e modelagem dos dados até a entrega de uma interface acessível ao usuário final, passando pela integração entre um modelo de Machine Learning clássico e um agente de Inteligência Artificial Generativa responsável por 'traduzir' o resultado matemático em uma explicação compreensível. Entre os quatro algoritmos testados, o Naive Bayes obteve o melhor equilíbrio entre acurácia, sensibilidade e simplicidade computacional, sendo o modelo escolhido para produção. A arquitetura modular (notebook → backend → frontend) permite que o modelo seja retreinado e reexportado a qualquer momento, sem necessidade de alterar o backend ou o frontend.</w:t>
      </w:r>
    </w:p>
    <w:p>
      <w:pPr>
        <w:spacing w:after="160" w:beforeAutospacing="0" w:afterAutospacing="0"/>
        <w:ind w:firstLine="720"/>
        <w:jc w:val="both"/>
        <w:rPr>
          <w:color w:val="000000"/>
        </w:rPr>
      </w:pPr>
      <w:r>
        <w:rPr>
          <w:color w:val="000000"/>
        </w:rPr>
        <w:t>Por fim, ressalta-se que esta ferramenta possui finalidade exclusivamente acadêmica e educacional, não devendo ser utilizada como substituto de avaliação, diagnóstico ou tratamento médico profissional.</w:t>
      </w:r>
    </w:p>
    <w:sectPr>
      <w:headerReference w:type="first" r:id="RelHdr1"/>
      <w:headerReference w:type="default" r:id="RelHdr2"/>
      <w:type w:val="nextPage"/>
      <w:pgMar w:left="1440" w:right="1440" w:top="1440" w:bottom="1440" w:header="708" w:footer="708" w:gutter="0"/>
      <w:pgNumType w:chapSep="period"/>
      <w:titlePg w:val="1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jc w:val="center"/>
    </w:pPr>
    <w:r>
      <w:rPr>
        <w:rtl w:val="0"/>
        <w:lang w:val="pt-BR" w:bidi="pt-BR" w:eastAsia="pt-BR"/>
      </w:rPr>
      <w:t>UNI</w:t>
    </w:r>
    <w:r>
      <w:rPr>
        <w:rtl w:val="0"/>
        <w:lang w:val="pt-BR" w:bidi="pt-BR" w:eastAsia="pt-BR"/>
      </w:rPr>
      <w:t>VERSIDADE DO OESTE DE SANTA CATARINA</w:t>
    </w:r>
  </w:p>
</w:hdr>
</file>

<file path=word/header2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/>
</w:hdr>
</file>

<file path=word/numbering.xml><?xml version="1.0" encoding="utf-8"?>
<w:numbering xmlns:w="http://schemas.openxmlformats.org/wordprocessingml/2006/main">
  <w:abstractNum w:abstractNumId="0">
    <w:nsid w:val="2295F4FA"/>
    <w:multiLevelType w:val="multilevel"/>
    <w:lvl w:ilvl="0">
      <w:start w:val="1"/>
      <w:numFmt w:val="bullet"/>
      <w:suff w:val="tab"/>
      <w:lvlText w:val="●"/>
      <w:lvlJc w:val="left"/>
      <w:pPr>
        <w:ind w:hanging="360" w:left="720"/>
      </w:pPr>
      <w:rPr/>
    </w:lvl>
    <w:lvl w:ilvl="1">
      <w:start w:val="1"/>
      <w:numFmt w:val="bullet"/>
      <w:suff w:val="tab"/>
      <w:lvlText w:val="○"/>
      <w:lvlJc w:val="left"/>
      <w:pPr>
        <w:ind w:hanging="360" w:left="1440"/>
      </w:pPr>
      <w:rPr/>
    </w:lvl>
    <w:lvl w:ilvl="2">
      <w:start w:val="1"/>
      <w:numFmt w:val="bullet"/>
      <w:suff w:val="tab"/>
      <w:lvlText w:val="■"/>
      <w:lvlJc w:val="left"/>
      <w:pPr>
        <w:ind w:hanging="360" w:left="2160"/>
      </w:pPr>
      <w:rPr/>
    </w:lvl>
    <w:lvl w:ilvl="3">
      <w:start w:val="1"/>
      <w:numFmt w:val="bullet"/>
      <w:suff w:val="tab"/>
      <w:lvlText w:val="●"/>
      <w:lvlJc w:val="left"/>
      <w:pPr>
        <w:ind w:hanging="360" w:left="2880"/>
      </w:pPr>
      <w:rPr/>
    </w:lvl>
    <w:lvl w:ilvl="4">
      <w:start w:val="1"/>
      <w:numFmt w:val="bullet"/>
      <w:suff w:val="tab"/>
      <w:lvlText w:val="○"/>
      <w:lvlJc w:val="left"/>
      <w:pPr>
        <w:ind w:hanging="360" w:left="3600"/>
      </w:pPr>
      <w:rPr/>
    </w:lvl>
    <w:lvl w:ilvl="5">
      <w:start w:val="1"/>
      <w:numFmt w:val="bullet"/>
      <w:suff w:val="tab"/>
      <w:lvlText w:val="■"/>
      <w:lvlJc w:val="left"/>
      <w:pPr>
        <w:ind w:hanging="360" w:left="4320"/>
      </w:pPr>
      <w:rPr/>
    </w:lvl>
    <w:lvl w:ilvl="6">
      <w:start w:val="1"/>
      <w:numFmt w:val="bullet"/>
      <w:suff w:val="tab"/>
      <w:lvlText w:val="●"/>
      <w:lvlJc w:val="left"/>
      <w:pPr>
        <w:ind w:hanging="360" w:left="5040"/>
      </w:pPr>
      <w:rPr/>
    </w:lvl>
    <w:lvl w:ilvl="7">
      <w:start w:val="1"/>
      <w:numFmt w:val="bullet"/>
      <w:suff w:val="tab"/>
      <w:lvlText w:val="●"/>
      <w:lvlJc w:val="left"/>
      <w:pPr>
        <w:ind w:hanging="360" w:left="5760"/>
      </w:pPr>
      <w:rPr/>
    </w:lvl>
    <w:lvl w:ilvl="8">
      <w:start w:val="1"/>
      <w:numFmt w:val="bullet"/>
      <w:suff w:val="tab"/>
      <w:lvlText w:val="●"/>
      <w:lvlJc w:val="left"/>
      <w:pPr>
        <w:ind w:hanging="360" w:left="6480"/>
      </w:pPr>
      <w:rPr/>
    </w:lvl>
  </w:abstractNum>
  <w:abstractNum w:abstractNumId="1">
    <w:nsid w:val="231D3728"/>
    <w:multiLevelType w:val="hybridMultilevel"/>
    <w:lvl w:ilvl="0">
      <w:start w:val="1"/>
      <w:numFmt w:val="bullet"/>
      <w:suff w:val="tab"/>
      <w:lvlText w:val="•"/>
      <w:lvlJc w:val="left"/>
      <w:pPr>
        <w:ind w:hanging="360" w:left="720"/>
      </w:pPr>
      <w:rPr/>
    </w:lvl>
    <w:lvl w:ilvl="1" w:tplc="1C613939">
      <w:start w:val="1"/>
      <w:numFmt w:val="decimal"/>
      <w:suff w:val="tab"/>
      <w:lvlText w:val="%1."/>
      <w:lvlJc w:val="left"/>
      <w:pPr/>
      <w:rPr/>
    </w:lvl>
    <w:lvl w:ilvl="2" w:tplc="56F7701B">
      <w:start w:val="1"/>
      <w:numFmt w:val="decimal"/>
      <w:suff w:val="tab"/>
      <w:lvlText w:val="%1."/>
      <w:lvlJc w:val="left"/>
      <w:pPr/>
      <w:rPr/>
    </w:lvl>
    <w:lvl w:ilvl="3" w:tplc="3F465E71">
      <w:start w:val="1"/>
      <w:numFmt w:val="decimal"/>
      <w:suff w:val="tab"/>
      <w:lvlText w:val="%1."/>
      <w:lvlJc w:val="left"/>
      <w:pPr/>
      <w:rPr/>
    </w:lvl>
    <w:lvl w:ilvl="4" w:tplc="45DCCD15">
      <w:start w:val="1"/>
      <w:numFmt w:val="decimal"/>
      <w:suff w:val="tab"/>
      <w:lvlText w:val="%1."/>
      <w:lvlJc w:val="left"/>
      <w:pPr/>
      <w:rPr/>
    </w:lvl>
    <w:lvl w:ilvl="5" w:tplc="0C46149F">
      <w:start w:val="1"/>
      <w:numFmt w:val="decimal"/>
      <w:suff w:val="tab"/>
      <w:lvlText w:val="%1."/>
      <w:lvlJc w:val="left"/>
      <w:pPr/>
      <w:rPr/>
    </w:lvl>
    <w:lvl w:ilvl="6" w:tplc="682A57A5">
      <w:start w:val="1"/>
      <w:numFmt w:val="decimal"/>
      <w:suff w:val="tab"/>
      <w:lvlText w:val="%1."/>
      <w:lvlJc w:val="left"/>
      <w:pPr/>
      <w:rPr/>
    </w:lvl>
    <w:lvl w:ilvl="7" w:tplc="28088912">
      <w:start w:val="1"/>
      <w:numFmt w:val="decimal"/>
      <w:suff w:val="tab"/>
      <w:lvlText w:val="%1."/>
      <w:lvlJc w:val="left"/>
      <w:pPr/>
      <w:rPr/>
    </w:lvl>
    <w:lvl w:ilvl="8" w:tplc="5234E585">
      <w:start w:val="1"/>
      <w:numFmt w:val="decimal"/>
      <w:suff w:val="tab"/>
      <w:lvlText w:val="%1."/>
      <w:lvlJc w:val="left"/>
      <w:pPr/>
      <w:rPr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1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paragraph" w:styleId="P1">
    <w:name w:val="Title"/>
    <w:qFormat/>
    <w:pPr/>
    <w:rPr>
      <w:sz w:val="56"/>
      <w:szCs w:val="56"/>
    </w:rPr>
  </w:style>
  <w:style w:type="paragraph" w:styleId="P2">
    <w:name w:val="Heading 1"/>
    <w:qFormat/>
    <w:pPr>
      <w:spacing w:before="360" w:after="200" w:beforeAutospacing="0" w:afterAutospacing="0"/>
      <w:outlineLvl w:val="0"/>
    </w:pPr>
    <w:rPr>
      <w:rFonts w:ascii="Arial" w:hAnsi="Arial" w:cs="Arial" w:eastAsia="Arial"/>
      <w:b w:val="1"/>
      <w:bCs w:val="1"/>
      <w:color w:val="1F3864"/>
      <w:sz w:val="32"/>
      <w:szCs w:val="32"/>
    </w:rPr>
  </w:style>
  <w:style w:type="paragraph" w:styleId="P3">
    <w:name w:val="Heading 2"/>
    <w:qFormat/>
    <w:pPr>
      <w:spacing w:before="280" w:after="160" w:beforeAutospacing="0" w:afterAutospacing="0"/>
      <w:outlineLvl w:val="1"/>
    </w:pPr>
    <w:rPr>
      <w:rFonts w:ascii="Arial" w:hAnsi="Arial" w:cs="Arial" w:eastAsia="Arial"/>
      <w:b w:val="1"/>
      <w:bCs w:val="1"/>
      <w:color w:val="2E5C8A"/>
      <w:sz w:val="26"/>
      <w:szCs w:val="26"/>
    </w:rPr>
  </w:style>
  <w:style w:type="paragraph" w:styleId="P4">
    <w:name w:val="Heading 3"/>
    <w:qFormat/>
    <w:pPr>
      <w:outlineLvl w:val="2"/>
    </w:pPr>
    <w:rPr>
      <w:color w:val="1F4D78"/>
      <w:sz w:val="24"/>
      <w:szCs w:val="24"/>
    </w:rPr>
  </w:style>
  <w:style w:type="paragraph" w:styleId="P5">
    <w:name w:val="Heading 4"/>
    <w:qFormat/>
    <w:pPr>
      <w:outlineLvl w:val="3"/>
    </w:pPr>
    <w:rPr>
      <w:i w:val="1"/>
      <w:iCs w:val="1"/>
      <w:color w:val="2E74B5"/>
    </w:rPr>
  </w:style>
  <w:style w:type="paragraph" w:styleId="P6">
    <w:name w:val="Heading 5"/>
    <w:qFormat/>
    <w:pPr>
      <w:outlineLvl w:val="4"/>
    </w:pPr>
    <w:rPr>
      <w:color w:val="2E74B5"/>
    </w:rPr>
  </w:style>
  <w:style w:type="paragraph" w:styleId="P7">
    <w:name w:val="Heading 6"/>
    <w:qFormat/>
    <w:pPr>
      <w:outlineLvl w:val="5"/>
    </w:pPr>
    <w:rPr>
      <w:color w:val="1F4D78"/>
    </w:rPr>
  </w:style>
  <w:style w:type="paragraph" w:styleId="P8">
    <w:name w:val="Strong1"/>
    <w:qFormat/>
    <w:pPr/>
    <w:rPr>
      <w:b w:val="1"/>
      <w:bCs w:val="1"/>
    </w:rPr>
  </w:style>
  <w:style w:type="paragraph" w:styleId="P9">
    <w:name w:val="List Paragraph"/>
    <w:qFormat/>
    <w:pPr/>
    <w:rPr/>
  </w:style>
  <w:style w:type="paragraph" w:styleId="P10">
    <w:name w:val="Footnote Text"/>
    <w:link w:val="C4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11">
    <w:name w:val="Endnote Text"/>
    <w:link w:val="C6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563C1"/>
      <w:u w:val="single"/>
    </w:rPr>
  </w:style>
  <w:style w:type="character" w:styleId="C3">
    <w:name w:val="Footnote Reference"/>
    <w:semiHidden/>
    <w:rPr>
      <w:vertAlign w:val="superscript"/>
    </w:rPr>
  </w:style>
  <w:style w:type="character" w:styleId="C4">
    <w:name w:val="Footnote Text Char"/>
    <w:link w:val="P10"/>
    <w:semiHidden/>
    <w:rPr>
      <w:sz w:val="20"/>
      <w:szCs w:val="20"/>
    </w:rPr>
  </w:style>
  <w:style w:type="character" w:styleId="C5">
    <w:name w:val="Endnote Reference"/>
    <w:semiHidden/>
    <w:rPr>
      <w:vertAlign w:val="superscript"/>
    </w:rPr>
  </w:style>
  <w:style w:type="character" w:styleId="C6">
    <w:name w:val="Endnote Text Char"/>
    <w:link w:val="P11"/>
    <w:semiHidden/>
    <w:rPr>
      <w:sz w:val="20"/>
      <w:szCs w:val="20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image7" Type="http://schemas.openxmlformats.org/officeDocument/2006/relationships/image" Target="/media/image7.png" /><Relationship Id="Relimage8" Type="http://schemas.openxmlformats.org/officeDocument/2006/relationships/image" Target="/media/image8.png" /><Relationship Id="Relimage9" Type="http://schemas.openxmlformats.org/officeDocument/2006/relationships/image" Target="/media/image9.png" /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Un-named</dc:creator>
  <dcterms:created xsi:type="dcterms:W3CDTF">2026-06-20T21:49:23Z</dcterms:created>
  <dcterms:modified xsi:type="dcterms:W3CDTF">2026-06-20T21:49:23Z</dcterms:modified>
  <cp:revision>2</cp:revision>
</cp:coreProperties>
</file>