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b/>
          <w:color w:val="1F4E79"/>
          <w:sz w:val="48"/>
        </w:rPr>
        <w:t>Validación de Modelos: Curvas ROC y AUC</w:t>
      </w:r>
    </w:p>
    <w:p>
      <w:pPr>
        <w:spacing w:before="200"/>
        <w:jc w:val="center"/>
      </w:pPr>
      <w:r>
        <w:rPr>
          <w:color w:val="404040"/>
          <w:sz w:val="28"/>
        </w:rPr>
        <w:t>Comparación AHP+Combinado, Índices, WoE y Regresión Logística</w:t>
      </w:r>
    </w:p>
    <w:p>
      <w:pPr>
        <w:spacing w:before="600"/>
        <w:jc w:val="center"/>
      </w:pPr>
      <w:r>
        <w:rPr>
          <w:color w:val="404040"/>
          <w:sz w:val="24"/>
        </w:rPr>
        <w:t>Cuenca del río Arma (Abejorral, Antioquia)</w:t>
      </w:r>
    </w:p>
    <w:p>
      <w:r>
        <w:br w:type="page"/>
      </w:r>
    </w:p>
    <w:p>
      <w:pPr>
        <w:pStyle w:val="Heading1"/>
      </w:pPr>
      <w:r>
        <w:rPr>
          <w:color w:val="1F4E79"/>
        </w:rPr>
        <w:t>1. Criterio de validación aplicado</w:t>
      </w:r>
    </w:p>
    <w:p>
      <w:pPr>
        <w:spacing w:after="160"/>
      </w:pPr>
      <w:r>
        <w:rPr>
          <w:b w:val="0"/>
          <w:i w:val="0"/>
          <w:sz w:val="22"/>
        </w:rPr>
        <w:t>Siguiendo las notas de clase ("Evaluación de modelos", 29/07/2026) y el capítulo oficial "Evaluación del modelo" del libro, la validación se hace distinto según el tipo de modelo:</w:t>
      </w:r>
    </w:p>
    <w:p>
      <w:pPr>
        <w:pStyle w:val="ListBullet"/>
      </w:pPr>
      <w:r>
        <w:rPr>
          <w:sz w:val="22"/>
        </w:rPr>
        <w:t>Métodos heurísticos (AHP+Combinado, Índices, WoE — Peso de la Evidencia): sus pesos NO se ajustan por optimización iterativa contra los datos, así que no aplica un esquema de entrenamiento/validación. Basta con UNA curva ROC calculada sobre el inventario completo — así lo indican las notas: "Para los métodos heurísticos (por ejemplo peso de la evidencia y asignación de pesos), se debe hacer al menos una curva ROC".</w:t>
      </w:r>
    </w:p>
    <w:p>
      <w:pPr>
        <w:pStyle w:val="ListBullet"/>
      </w:pPr>
      <w:r>
        <w:rPr>
          <w:sz w:val="22"/>
        </w:rPr>
        <w:t>Regresión Logística (método estadístico/de datos): sí se ajusta (máxima verosimilitud) contra los datos, por lo que puede sobreajustarse. Se exige partición 80/20: "para regresión logística, mínimo hacer la partición de 80-20", confirmado también por el capítulo del libro como el estándar en estudios colombianos. Se reporta la curva de entrenamiento ("curva de predicción") y la de validación ("curva de éxito", sobre el 20% nunca visto por el modelo).</w:t>
      </w:r>
    </w:p>
    <w:p>
      <w:pPr>
        <w:spacing w:after="160"/>
      </w:pPr>
      <w:r>
        <w:rPr>
          <w:b w:val="0"/>
          <w:i w:val="0"/>
          <w:sz w:val="22"/>
        </w:rPr>
        <w:t>El capítulo del libro complementa lo anterior con TRES métricas de evaluación: la matriz de confusión, la curva ROC/AUROC, y la Distancia a la clasificación perfecta (r = √(FPR² + (1-TPR)²) — distancia euclidiana hasta la esquina superior izquierda ideal; menor r es mejor). También reporta la escala cualitativa de Swets (1988), usada en las guías SafeLand/JTC-1: AUC &gt; 0.9 = altamente preciso, AUC &gt; 0.7 = moderadamente preciso, AUC &gt; 0.5 = mejor que el azar (aceptable), AUC ≤ 0.5 = no aceptable. Las tres métricas se calculan para los tres modelos comparados en este informe: AHP+Combinado, WoE y Regresión Logística (el método de Índices, casi redundante con AHP+Combinado, se excluye de esta comparación por decisión del usuario).</w:t>
      </w:r>
    </w:p>
    <w:p>
      <w:pPr>
        <w:pStyle w:val="Heading1"/>
      </w:pPr>
      <w:r>
        <w:rPr>
          <w:color w:val="1F4E79"/>
        </w:rPr>
        <w:t>2. Método AHP + Combinado (heurístico)</w:t>
      </w:r>
    </w:p>
    <w:p>
      <w:pPr>
        <w:spacing w:after="160"/>
      </w:pPr>
      <w:r>
        <w:rPr>
          <w:b w:val="0"/>
          <w:i w:val="0"/>
          <w:sz w:val="22"/>
        </w:rPr>
        <w:t>Fuente actualizada: proyecto_susceptibilidad_AHP. A diferencia de la versión anterior de este informe, esta vez el peso de las clases (w_c) se asigna ÚNICAMENTE por criterio experto — se descartó el uso de Frequency Ratio para calibrar los pesos, por decisión explícita de la autora, para ajustarse al ejemplo de referencia del curso. El índice de susceptibilidad (S_n = Σ W_i·w_c_i) se recalculó en Python punto por punto (sin arcpy) usando las mismas reglas de reclasificación de los CSV del proyecto; se verificó que el t-test de validación coincide con el ya reportado en el README del proyecto (t=1.077 vs. 1.076, p=0.2825 vs. 0.2828 — solo redondeo).</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roc_ahp.png"/>
                    <pic:cNvPicPr/>
                  </pic:nvPicPr>
                  <pic:blipFill>
                    <a:blip r:embed="rId9"/>
                    <a:stretch>
                      <a:fillRect/>
                    </a:stretch>
                  </pic:blipFill>
                  <pic:spPr>
                    <a:xfrm>
                      <a:off x="0" y="0"/>
                      <a:ext cx="4572000" cy="4572000"/>
                    </a:xfrm>
                    <a:prstGeom prst="rect"/>
                  </pic:spPr>
                </pic:pic>
              </a:graphicData>
            </a:graphic>
          </wp:inline>
        </w:drawing>
      </w:r>
    </w:p>
    <w:p>
      <w:pPr>
        <w:spacing w:after="80"/>
        <w:jc w:val="center"/>
      </w:pPr>
      <w:r>
        <w:rPr>
          <w:i/>
          <w:color w:val="404040"/>
          <w:sz w:val="19"/>
        </w:rPr>
        <w:t>Figura 2.1. Curva ROC — AHP + Combinado.</w:t>
      </w:r>
    </w:p>
    <w:p>
      <w:pPr>
        <w:spacing w:after="280"/>
        <w:ind w:left="227"/>
      </w:pPr>
      <w:r>
        <w:rPr>
          <w:b/>
          <w:i/>
          <w:color w:val="C00000"/>
          <w:sz w:val="21"/>
        </w:rPr>
        <w:t xml:space="preserve">Alerta: </w:t>
      </w:r>
      <w:r>
        <w:rPr>
          <w:i/>
          <w:color w:val="404040"/>
          <w:sz w:val="21"/>
        </w:rPr>
        <w:t>AUC = 0.667 → "Aceptable (mejor que el azar)" según Swets (1988) — apenas por encima de 0.5, es decir, el modelo discrimina SOLO marginalmente mejor que una clasificación aleatoria. Esto es consistente con el t-test ya reportado en el README del proyecto (p=0.28, NO significativo): la media del índice en puntos de movimiento (0.548) y en puntos estables (0.536) es casi idéntica. Distancia a la clasificación perfecta r = 0.541 (la más alta —peor— de los 3 modelos evaluados en este informe).</w:t>
      </w:r>
    </w:p>
    <w:p>
      <w:pPr>
        <w:pStyle w:val="Heading1"/>
      </w:pPr>
      <w:r>
        <w:rPr>
          <w:color w:val="1F4E79"/>
        </w:rPr>
        <w:t>3. Método WoE — Peso de la Evidencia (heurístico)</w:t>
      </w:r>
    </w:p>
    <w:p>
      <w:pPr>
        <w:spacing w:after="160"/>
      </w:pPr>
      <w:r>
        <w:rPr>
          <w:b w:val="0"/>
          <w:i w:val="0"/>
          <w:sz w:val="22"/>
        </w:rPr>
        <w:t>Sin cambios respecto a la validación anterior. Se extrajo el valor del raster susceptibilidad_WoE.tif (14_WoE_Susceptibilidad, pesos W+ calculados de conteos de píxeles del dominio completo) en los mismos 256 puntos del inventario.</w:t>
      </w:r>
    </w:p>
    <w:p>
      <w:pPr>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roc_woe.png"/>
                    <pic:cNvPicPr/>
                  </pic:nvPicPr>
                  <pic:blipFill>
                    <a:blip r:embed="rId10"/>
                    <a:stretch>
                      <a:fillRect/>
                    </a:stretch>
                  </pic:blipFill>
                  <pic:spPr>
                    <a:xfrm>
                      <a:off x="0" y="0"/>
                      <a:ext cx="4206240" cy="4206240"/>
                    </a:xfrm>
                    <a:prstGeom prst="rect"/>
                  </pic:spPr>
                </pic:pic>
              </a:graphicData>
            </a:graphic>
          </wp:inline>
        </w:drawing>
      </w:r>
    </w:p>
    <w:p>
      <w:pPr>
        <w:spacing w:after="80"/>
        <w:jc w:val="center"/>
      </w:pPr>
      <w:r>
        <w:rPr>
          <w:i/>
          <w:color w:val="404040"/>
          <w:sz w:val="19"/>
        </w:rPr>
        <w:t>Figura 3.1. Curva ROC — WoE.</w:t>
      </w:r>
    </w:p>
    <w:p>
      <w:pPr>
        <w:spacing w:after="280"/>
        <w:ind w:left="227"/>
      </w:pPr>
      <w:r>
        <w:rPr>
          <w:b/>
          <w:i/>
          <w:color w:val="1E7B34"/>
          <w:sz w:val="21"/>
        </w:rPr>
        <w:t xml:space="preserve">Interpretación: </w:t>
      </w:r>
      <w:r>
        <w:rPr>
          <w:i/>
          <w:color w:val="404040"/>
          <w:sz w:val="21"/>
        </w:rPr>
        <w:t>AUC = 0.819 → "Moderado (moderadamente preciso)" (Swets 1988) — muy superior a AHP+Combinado (0.667). Distancia a la clasificación perfecta r = 0.331, muy por debajo (mejor) que la de AHP+Combinado. La diferencia clave: los pesos W+ de WoE se calculan matemáticamente de la evidencia estadística del inventario (una fórmula cerrada basada en conteos reales de movimientos por clase), mientras que AHP+Combinado, en esta versión, depende completamente del criterio experto sin ningún anclaje a los datos — la diferencia de AUC es la evidencia más clara de cuánto aporta dejar que los datos calibren los pesos.</w:t>
      </w:r>
    </w:p>
    <w:p>
      <w:pPr>
        <w:pStyle w:val="Heading1"/>
      </w:pPr>
      <w:r>
        <w:rPr>
          <w:color w:val="1F4E79"/>
        </w:rPr>
        <w:t>4. Regresión Logística (estadístico, con partición 80/20)</w:t>
      </w:r>
    </w:p>
    <w:p>
      <w:pPr>
        <w:spacing w:after="160"/>
      </w:pPr>
      <w:r>
        <w:rPr>
          <w:b w:val="0"/>
          <w:i w:val="0"/>
          <w:sz w:val="22"/>
        </w:rPr>
        <w:t>Modelo final ya seleccionado por AIC en 13_Regresion_Logistica (uso_actual + geología + geomorfología + curvatura + dist_drenajes). Partición 80/20 estratificada (semilla=42); categorías raras agrupadas SOLO con los conteos del 80% de entrenamiento; coeficientes reajustados solamente con ese 80%.</w:t>
      </w:r>
    </w:p>
    <w:p>
      <w:pPr>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roc_regresion_logistica_train_test.png"/>
                    <pic:cNvPicPr/>
                  </pic:nvPicPr>
                  <pic:blipFill>
                    <a:blip r:embed="rId11"/>
                    <a:stretch>
                      <a:fillRect/>
                    </a:stretch>
                  </pic:blipFill>
                  <pic:spPr>
                    <a:xfrm>
                      <a:off x="0" y="0"/>
                      <a:ext cx="4572000" cy="4572000"/>
                    </a:xfrm>
                    <a:prstGeom prst="rect"/>
                  </pic:spPr>
                </pic:pic>
              </a:graphicData>
            </a:graphic>
          </wp:inline>
        </w:drawing>
      </w:r>
    </w:p>
    <w:p>
      <w:pPr>
        <w:spacing w:after="80"/>
        <w:jc w:val="center"/>
      </w:pPr>
      <w:r>
        <w:rPr>
          <w:i/>
          <w:color w:val="404040"/>
          <w:sz w:val="19"/>
        </w:rPr>
        <w:t>Figura 5.1. Curvas ROC — entrenamiento vs. validación.</w:t>
      </w:r>
    </w:p>
    <w:p>
      <w:pPr>
        <w:spacing w:after="280"/>
        <w:ind w:left="227"/>
      </w:pPr>
      <w:r>
        <w:rPr>
          <w:b/>
          <w:i/>
          <w:color w:val="1E7B34"/>
          <w:sz w:val="21"/>
        </w:rPr>
        <w:t xml:space="preserve">Interpretación: </w:t>
      </w:r>
      <w:r>
        <w:rPr>
          <w:i/>
          <w:color w:val="404040"/>
          <w:sz w:val="21"/>
        </w:rPr>
        <w:t>AUC entrenamiento = 0.898 ("Moderado (moderadamente preciso)"), AUC validación = 0.729 ("Moderado (moderadamente preciso)") — diferencia de 0.169, indicando cierto sobreajuste (esperable con solo 51 puntos de prueba y 21 parámetros), pero incluso en datos nunca vistos el modelo sigue siendo moderadamente preciso. Se excluyó 1 punto del 20% de prueba por caer en una categoría de geología nunca observada en entrenamiento (limitación documentada, no se fuerza una predicción inválida).</w:t>
      </w:r>
    </w:p>
    <w:p>
      <w:r>
        <w:br w:type="page"/>
      </w:r>
    </w:p>
    <w:p>
      <w:pPr>
        <w:pStyle w:val="Heading1"/>
      </w:pPr>
      <w:r>
        <w:rPr>
          <w:color w:val="1F4E79"/>
        </w:rPr>
        <w:t>5. Comparación estadística por pares — prueba de DeLong</w:t>
      </w:r>
    </w:p>
    <w:p>
      <w:pPr>
        <w:spacing w:after="160"/>
      </w:pPr>
      <w:r>
        <w:rPr>
          <w:b w:val="0"/>
          <w:i w:val="0"/>
          <w:sz w:val="22"/>
        </w:rPr>
        <w:t>Responde a la Actividad 3 del capítulo del libro: "traza las curvas ROC de los... métodos... en el mismo gráfico. ¿Cuál tiene mayor AUC? ¿Es la diferencia estadísticamente significativa (prueba DeLong)?". Se comparan los 3 modelos sobre EXACTAMENTE los mismos 256 puntos (para regresión se usa el modelo COMPLETO, ajustado con el 100% de los datos, no el de partición 80/20, porque DeLong exige comparación pareada sobre los mismos sujetos). Algoritmo estándar de DeLong et al. (1988; versión rápida de Sun &amp; Xu, 2014), verificado contra sklearn (coincide exactamente en las 3 AUC).</w:t>
      </w:r>
    </w:p>
    <w:p>
      <w:pPr>
        <w:jc w:val="center"/>
      </w:pPr>
      <w:r>
        <w:drawing>
          <wp:inline xmlns:a="http://schemas.openxmlformats.org/drawingml/2006/main" xmlns:pic="http://schemas.openxmlformats.org/drawingml/2006/picture">
            <wp:extent cx="4937760" cy="4937760"/>
            <wp:docPr id="4" name="Picture 4"/>
            <wp:cNvGraphicFramePr>
              <a:graphicFrameLocks noChangeAspect="1"/>
            </wp:cNvGraphicFramePr>
            <a:graphic>
              <a:graphicData uri="http://schemas.openxmlformats.org/drawingml/2006/picture">
                <pic:pic>
                  <pic:nvPicPr>
                    <pic:cNvPr id="0" name="roc_comparacion_3_modelos_delong.png"/>
                    <pic:cNvPicPr/>
                  </pic:nvPicPr>
                  <pic:blipFill>
                    <a:blip r:embed="rId12"/>
                    <a:stretch>
                      <a:fillRect/>
                    </a:stretch>
                  </pic:blipFill>
                  <pic:spPr>
                    <a:xfrm>
                      <a:off x="0" y="0"/>
                      <a:ext cx="4937760" cy="4937760"/>
                    </a:xfrm>
                    <a:prstGeom prst="rect"/>
                  </pic:spPr>
                </pic:pic>
              </a:graphicData>
            </a:graphic>
          </wp:inline>
        </w:drawing>
      </w:r>
    </w:p>
    <w:p>
      <w:pPr>
        <w:spacing w:after="80"/>
        <w:jc w:val="center"/>
      </w:pPr>
      <w:r>
        <w:rPr>
          <w:i/>
          <w:color w:val="404040"/>
          <w:sz w:val="19"/>
        </w:rPr>
        <w:t>Figura 5.1. Curvas ROC de los 3 modelos sobre los mismos 256 puntos.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fill="1F4E79"/>
          </w:tcPr>
          <w:p>
            <w:pPr>
              <w:jc w:val="center"/>
            </w:pPr>
            <w:r/>
            <w:r>
              <w:rPr>
                <w:b/>
                <w:color w:val="FFFFFF"/>
                <w:sz w:val="17"/>
              </w:rPr>
              <w:t>modelo_A</w:t>
            </w:r>
          </w:p>
        </w:tc>
        <w:tc>
          <w:tcPr>
            <w:tcW w:type="dxa" w:w="1218"/>
            <w:shd w:fill="1F4E79"/>
          </w:tcPr>
          <w:p>
            <w:pPr>
              <w:jc w:val="center"/>
            </w:pPr>
            <w:r/>
            <w:r>
              <w:rPr>
                <w:b/>
                <w:color w:val="FFFFFF"/>
                <w:sz w:val="17"/>
              </w:rPr>
              <w:t>AUC_A</w:t>
            </w:r>
          </w:p>
        </w:tc>
        <w:tc>
          <w:tcPr>
            <w:tcW w:type="dxa" w:w="1218"/>
            <w:shd w:fill="1F4E79"/>
          </w:tcPr>
          <w:p>
            <w:pPr>
              <w:jc w:val="center"/>
            </w:pPr>
            <w:r/>
            <w:r>
              <w:rPr>
                <w:b/>
                <w:color w:val="FFFFFF"/>
                <w:sz w:val="17"/>
              </w:rPr>
              <w:t>modelo_B</w:t>
            </w:r>
          </w:p>
        </w:tc>
        <w:tc>
          <w:tcPr>
            <w:tcW w:type="dxa" w:w="1218"/>
            <w:shd w:fill="1F4E79"/>
          </w:tcPr>
          <w:p>
            <w:pPr>
              <w:jc w:val="center"/>
            </w:pPr>
            <w:r/>
            <w:r>
              <w:rPr>
                <w:b/>
                <w:color w:val="FFFFFF"/>
                <w:sz w:val="17"/>
              </w:rPr>
              <w:t>AUC_B</w:t>
            </w:r>
          </w:p>
        </w:tc>
        <w:tc>
          <w:tcPr>
            <w:tcW w:type="dxa" w:w="1218"/>
            <w:shd w:fill="1F4E79"/>
          </w:tcPr>
          <w:p>
            <w:pPr>
              <w:jc w:val="center"/>
            </w:pPr>
            <w:r/>
            <w:r>
              <w:rPr>
                <w:b/>
                <w:color w:val="FFFFFF"/>
                <w:sz w:val="17"/>
              </w:rPr>
              <w:t>diferencia_AUC</w:t>
            </w:r>
          </w:p>
        </w:tc>
        <w:tc>
          <w:tcPr>
            <w:tcW w:type="dxa" w:w="1218"/>
            <w:shd w:fill="1F4E79"/>
          </w:tcPr>
          <w:p>
            <w:pPr>
              <w:jc w:val="center"/>
            </w:pPr>
            <w:r/>
            <w:r>
              <w:rPr>
                <w:b/>
                <w:color w:val="FFFFFF"/>
                <w:sz w:val="17"/>
              </w:rPr>
              <w:t>z</w:t>
            </w:r>
          </w:p>
        </w:tc>
        <w:tc>
          <w:tcPr>
            <w:tcW w:type="dxa" w:w="1218"/>
            <w:shd w:fill="1F4E79"/>
          </w:tcPr>
          <w:p>
            <w:pPr>
              <w:jc w:val="center"/>
            </w:pPr>
            <w:r/>
            <w:r>
              <w:rPr>
                <w:b/>
                <w:color w:val="FFFFFF"/>
                <w:sz w:val="17"/>
              </w:rPr>
              <w:t>p_valor</w:t>
            </w:r>
          </w:p>
        </w:tc>
        <w:tc>
          <w:tcPr>
            <w:tcW w:type="dxa" w:w="1218"/>
            <w:shd w:fill="1F4E79"/>
          </w:tcPr>
          <w:p>
            <w:pPr>
              <w:jc w:val="center"/>
            </w:pPr>
            <w:r/>
            <w:r>
              <w:rPr>
                <w:b/>
                <w:color w:val="FFFFFF"/>
                <w:sz w:val="17"/>
              </w:rPr>
              <w:t>significativo_p&lt;0.05</w:t>
            </w:r>
          </w:p>
        </w:tc>
      </w:tr>
      <w:tr>
        <w:tc>
          <w:tcPr>
            <w:tcW w:type="dxa" w:w="1218"/>
          </w:tcPr>
          <w:p>
            <w:pPr>
              <w:jc w:val="center"/>
            </w:pPr>
            <w:r/>
            <w:r>
              <w:rPr>
                <w:sz w:val="17"/>
              </w:rPr>
              <w:t>AHP+Combinado</w:t>
            </w:r>
          </w:p>
        </w:tc>
        <w:tc>
          <w:tcPr>
            <w:tcW w:type="dxa" w:w="1218"/>
          </w:tcPr>
          <w:p>
            <w:pPr>
              <w:jc w:val="center"/>
            </w:pPr>
            <w:r/>
            <w:r>
              <w:rPr>
                <w:sz w:val="17"/>
              </w:rPr>
              <w:t>0.667</w:t>
            </w:r>
          </w:p>
        </w:tc>
        <w:tc>
          <w:tcPr>
            <w:tcW w:type="dxa" w:w="1218"/>
          </w:tcPr>
          <w:p>
            <w:pPr>
              <w:jc w:val="center"/>
            </w:pPr>
            <w:r/>
            <w:r>
              <w:rPr>
                <w:sz w:val="17"/>
              </w:rPr>
              <w:t>WoE</w:t>
            </w:r>
          </w:p>
        </w:tc>
        <w:tc>
          <w:tcPr>
            <w:tcW w:type="dxa" w:w="1218"/>
          </w:tcPr>
          <w:p>
            <w:pPr>
              <w:jc w:val="center"/>
            </w:pPr>
            <w:r/>
            <w:r>
              <w:rPr>
                <w:sz w:val="17"/>
              </w:rPr>
              <w:t>0.819</w:t>
            </w:r>
          </w:p>
        </w:tc>
        <w:tc>
          <w:tcPr>
            <w:tcW w:type="dxa" w:w="1218"/>
          </w:tcPr>
          <w:p>
            <w:pPr>
              <w:jc w:val="center"/>
            </w:pPr>
            <w:r/>
            <w:r>
              <w:rPr>
                <w:sz w:val="17"/>
              </w:rPr>
              <w:t>-0.152</w:t>
            </w:r>
          </w:p>
        </w:tc>
        <w:tc>
          <w:tcPr>
            <w:tcW w:type="dxa" w:w="1218"/>
          </w:tcPr>
          <w:p>
            <w:pPr>
              <w:jc w:val="center"/>
            </w:pPr>
            <w:r/>
            <w:r>
              <w:rPr>
                <w:sz w:val="17"/>
              </w:rPr>
              <w:t>-4.213</w:t>
            </w:r>
          </w:p>
        </w:tc>
        <w:tc>
          <w:tcPr>
            <w:tcW w:type="dxa" w:w="1218"/>
          </w:tcPr>
          <w:p>
            <w:pPr>
              <w:jc w:val="center"/>
            </w:pPr>
            <w:r/>
            <w:r>
              <w:rPr>
                <w:sz w:val="17"/>
              </w:rPr>
              <w:t>0.0</w:t>
            </w:r>
          </w:p>
        </w:tc>
        <w:tc>
          <w:tcPr>
            <w:tcW w:type="dxa" w:w="1218"/>
          </w:tcPr>
          <w:p>
            <w:pPr>
              <w:jc w:val="center"/>
            </w:pPr>
            <w:r/>
            <w:r>
              <w:rPr>
                <w:sz w:val="17"/>
              </w:rPr>
              <w:t>True</w:t>
            </w:r>
          </w:p>
        </w:tc>
      </w:tr>
      <w:tr>
        <w:tc>
          <w:tcPr>
            <w:tcW w:type="dxa" w:w="1218"/>
          </w:tcPr>
          <w:p>
            <w:pPr>
              <w:jc w:val="center"/>
            </w:pPr>
            <w:r/>
            <w:r>
              <w:rPr>
                <w:sz w:val="17"/>
              </w:rPr>
              <w:t>AHP+Combinado</w:t>
            </w:r>
          </w:p>
        </w:tc>
        <w:tc>
          <w:tcPr>
            <w:tcW w:type="dxa" w:w="1218"/>
          </w:tcPr>
          <w:p>
            <w:pPr>
              <w:jc w:val="center"/>
            </w:pPr>
            <w:r/>
            <w:r>
              <w:rPr>
                <w:sz w:val="17"/>
              </w:rPr>
              <w:t>0.667</w:t>
            </w:r>
          </w:p>
        </w:tc>
        <w:tc>
          <w:tcPr>
            <w:tcW w:type="dxa" w:w="1218"/>
          </w:tcPr>
          <w:p>
            <w:pPr>
              <w:jc w:val="center"/>
            </w:pPr>
            <w:r/>
            <w:r>
              <w:rPr>
                <w:sz w:val="17"/>
              </w:rPr>
              <w:t>Regresión Logística (completo)</w:t>
            </w:r>
          </w:p>
        </w:tc>
        <w:tc>
          <w:tcPr>
            <w:tcW w:type="dxa" w:w="1218"/>
          </w:tcPr>
          <w:p>
            <w:pPr>
              <w:jc w:val="center"/>
            </w:pPr>
            <w:r/>
            <w:r>
              <w:rPr>
                <w:sz w:val="17"/>
              </w:rPr>
              <w:t>0.869</w:t>
            </w:r>
          </w:p>
        </w:tc>
        <w:tc>
          <w:tcPr>
            <w:tcW w:type="dxa" w:w="1218"/>
          </w:tcPr>
          <w:p>
            <w:pPr>
              <w:jc w:val="center"/>
            </w:pPr>
            <w:r/>
            <w:r>
              <w:rPr>
                <w:sz w:val="17"/>
              </w:rPr>
              <w:t>-0.202</w:t>
            </w:r>
          </w:p>
        </w:tc>
        <w:tc>
          <w:tcPr>
            <w:tcW w:type="dxa" w:w="1218"/>
          </w:tcPr>
          <w:p>
            <w:pPr>
              <w:jc w:val="center"/>
            </w:pPr>
            <w:r/>
            <w:r>
              <w:rPr>
                <w:sz w:val="17"/>
              </w:rPr>
              <w:t>-5.77</w:t>
            </w:r>
          </w:p>
        </w:tc>
        <w:tc>
          <w:tcPr>
            <w:tcW w:type="dxa" w:w="1218"/>
          </w:tcPr>
          <w:p>
            <w:pPr>
              <w:jc w:val="center"/>
            </w:pPr>
            <w:r/>
            <w:r>
              <w:rPr>
                <w:sz w:val="17"/>
              </w:rPr>
              <w:t>0.0</w:t>
            </w:r>
          </w:p>
        </w:tc>
        <w:tc>
          <w:tcPr>
            <w:tcW w:type="dxa" w:w="1218"/>
          </w:tcPr>
          <w:p>
            <w:pPr>
              <w:jc w:val="center"/>
            </w:pPr>
            <w:r/>
            <w:r>
              <w:rPr>
                <w:sz w:val="17"/>
              </w:rPr>
              <w:t>True</w:t>
            </w:r>
          </w:p>
        </w:tc>
      </w:tr>
      <w:tr>
        <w:tc>
          <w:tcPr>
            <w:tcW w:type="dxa" w:w="1218"/>
          </w:tcPr>
          <w:p>
            <w:pPr>
              <w:jc w:val="center"/>
            </w:pPr>
            <w:r/>
            <w:r>
              <w:rPr>
                <w:sz w:val="17"/>
              </w:rPr>
              <w:t>WoE</w:t>
            </w:r>
          </w:p>
        </w:tc>
        <w:tc>
          <w:tcPr>
            <w:tcW w:type="dxa" w:w="1218"/>
          </w:tcPr>
          <w:p>
            <w:pPr>
              <w:jc w:val="center"/>
            </w:pPr>
            <w:r/>
            <w:r>
              <w:rPr>
                <w:sz w:val="17"/>
              </w:rPr>
              <w:t>0.819</w:t>
            </w:r>
          </w:p>
        </w:tc>
        <w:tc>
          <w:tcPr>
            <w:tcW w:type="dxa" w:w="1218"/>
          </w:tcPr>
          <w:p>
            <w:pPr>
              <w:jc w:val="center"/>
            </w:pPr>
            <w:r/>
            <w:r>
              <w:rPr>
                <w:sz w:val="17"/>
              </w:rPr>
              <w:t>Regresión Logística (completo)</w:t>
            </w:r>
          </w:p>
        </w:tc>
        <w:tc>
          <w:tcPr>
            <w:tcW w:type="dxa" w:w="1218"/>
          </w:tcPr>
          <w:p>
            <w:pPr>
              <w:jc w:val="center"/>
            </w:pPr>
            <w:r/>
            <w:r>
              <w:rPr>
                <w:sz w:val="17"/>
              </w:rPr>
              <w:t>0.869</w:t>
            </w:r>
          </w:p>
        </w:tc>
        <w:tc>
          <w:tcPr>
            <w:tcW w:type="dxa" w:w="1218"/>
          </w:tcPr>
          <w:p>
            <w:pPr>
              <w:jc w:val="center"/>
            </w:pPr>
            <w:r/>
            <w:r>
              <w:rPr>
                <w:sz w:val="17"/>
              </w:rPr>
              <w:t>-0.05</w:t>
            </w:r>
          </w:p>
        </w:tc>
        <w:tc>
          <w:tcPr>
            <w:tcW w:type="dxa" w:w="1218"/>
          </w:tcPr>
          <w:p>
            <w:pPr>
              <w:jc w:val="center"/>
            </w:pPr>
            <w:r/>
            <w:r>
              <w:rPr>
                <w:sz w:val="17"/>
              </w:rPr>
              <w:t>-2.752</w:t>
            </w:r>
          </w:p>
        </w:tc>
        <w:tc>
          <w:tcPr>
            <w:tcW w:type="dxa" w:w="1218"/>
          </w:tcPr>
          <w:p>
            <w:pPr>
              <w:jc w:val="center"/>
            </w:pPr>
            <w:r/>
            <w:r>
              <w:rPr>
                <w:sz w:val="17"/>
              </w:rPr>
              <w:t>0.006</w:t>
            </w:r>
          </w:p>
        </w:tc>
        <w:tc>
          <w:tcPr>
            <w:tcW w:type="dxa" w:w="1218"/>
          </w:tcPr>
          <w:p>
            <w:pPr>
              <w:jc w:val="center"/>
            </w:pPr>
            <w:r/>
            <w:r>
              <w:rPr>
                <w:sz w:val="17"/>
              </w:rPr>
              <w:t>True</w:t>
            </w:r>
          </w:p>
        </w:tc>
      </w:tr>
    </w:tbl>
    <w:p>
      <w:pPr>
        <w:spacing w:after="80"/>
      </w:pPr>
    </w:p>
    <w:p>
      <w:pPr>
        <w:spacing w:after="280"/>
        <w:ind w:left="227"/>
      </w:pPr>
      <w:r>
        <w:rPr>
          <w:b/>
          <w:i/>
          <w:color w:val="1E7B34"/>
          <w:sz w:val="21"/>
        </w:rPr>
        <w:t xml:space="preserve">Interpretación: </w:t>
      </w:r>
      <w:r>
        <w:rPr>
          <w:i/>
          <w:color w:val="404040"/>
          <w:sz w:val="21"/>
        </w:rPr>
        <w:t>Las 3 comparaciones por pares son TODAS estadísticamente significativas (p&lt;0.05): tanto WoE como Regresión Logística superan de forma significativa a AHP+Combinado, y Regresión Logística también supera de forma significativa a WoE. Esto confirma con evidencia estadística formal —no solo con el AUC puntual— que anclar los pesos a la evidencia del inventario (WoE) o ajustarlos por máxima verosimilitud (Regresión) mejora sustancialmente la capacidad de discriminación frente a asignarlos únicamente por criterio experto.</w:t>
      </w:r>
    </w:p>
    <w:p>
      <w:r>
        <w:br w:type="page"/>
      </w:r>
    </w:p>
    <w:p>
      <w:pPr>
        <w:pStyle w:val="Heading1"/>
      </w:pPr>
      <w:r>
        <w:rPr>
          <w:color w:val="1F4E79"/>
        </w:rPr>
        <w:t>6. Comparación final y conclusiones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1F4E79"/>
          </w:tcPr>
          <w:p>
            <w:pPr>
              <w:jc w:val="center"/>
            </w:pPr>
            <w:r/>
            <w:r>
              <w:rPr>
                <w:b/>
                <w:color w:val="FFFFFF"/>
                <w:sz w:val="17"/>
              </w:rPr>
              <w:t>modelo</w:t>
            </w:r>
          </w:p>
        </w:tc>
        <w:tc>
          <w:tcPr>
            <w:tcW w:type="dxa" w:w="1624"/>
            <w:shd w:fill="1F4E79"/>
          </w:tcPr>
          <w:p>
            <w:pPr>
              <w:jc w:val="center"/>
            </w:pPr>
            <w:r/>
            <w:r>
              <w:rPr>
                <w:b/>
                <w:color w:val="FFFFFF"/>
                <w:sz w:val="17"/>
              </w:rPr>
              <w:t>tipo</w:t>
            </w:r>
          </w:p>
        </w:tc>
        <w:tc>
          <w:tcPr>
            <w:tcW w:type="dxa" w:w="1624"/>
            <w:shd w:fill="1F4E79"/>
          </w:tcPr>
          <w:p>
            <w:pPr>
              <w:jc w:val="center"/>
            </w:pPr>
            <w:r/>
            <w:r>
              <w:rPr>
                <w:b/>
                <w:color w:val="FFFFFF"/>
                <w:sz w:val="17"/>
              </w:rPr>
              <w:t>curva</w:t>
            </w:r>
          </w:p>
        </w:tc>
        <w:tc>
          <w:tcPr>
            <w:tcW w:type="dxa" w:w="1624"/>
            <w:shd w:fill="1F4E79"/>
          </w:tcPr>
          <w:p>
            <w:pPr>
              <w:jc w:val="center"/>
            </w:pPr>
            <w:r/>
            <w:r>
              <w:rPr>
                <w:b/>
                <w:color w:val="FFFFFF"/>
                <w:sz w:val="17"/>
              </w:rPr>
              <w:t>n_puntos</w:t>
            </w:r>
          </w:p>
        </w:tc>
        <w:tc>
          <w:tcPr>
            <w:tcW w:type="dxa" w:w="1624"/>
            <w:shd w:fill="1F4E79"/>
          </w:tcPr>
          <w:p>
            <w:pPr>
              <w:jc w:val="center"/>
            </w:pPr>
            <w:r/>
            <w:r>
              <w:rPr>
                <w:b/>
                <w:color w:val="FFFFFF"/>
                <w:sz w:val="17"/>
              </w:rPr>
              <w:t>AUC</w:t>
            </w:r>
          </w:p>
        </w:tc>
        <w:tc>
          <w:tcPr>
            <w:tcW w:type="dxa" w:w="1624"/>
            <w:shd w:fill="1F4E79"/>
          </w:tcPr>
          <w:p>
            <w:pPr>
              <w:jc w:val="center"/>
            </w:pPr>
            <w:r/>
            <w:r>
              <w:rPr>
                <w:b/>
                <w:color w:val="FFFFFF"/>
                <w:sz w:val="17"/>
              </w:rPr>
              <w:t>clasificación (Swets 1988)</w:t>
            </w:r>
          </w:p>
        </w:tc>
      </w:tr>
      <w:tr>
        <w:tc>
          <w:tcPr>
            <w:tcW w:type="dxa" w:w="1624"/>
          </w:tcPr>
          <w:p>
            <w:pPr>
              <w:jc w:val="center"/>
            </w:pPr>
            <w:r/>
            <w:r>
              <w:rPr>
                <w:sz w:val="17"/>
              </w:rPr>
              <w:t>AHP + Combinado</w:t>
            </w:r>
          </w:p>
        </w:tc>
        <w:tc>
          <w:tcPr>
            <w:tcW w:type="dxa" w:w="1624"/>
          </w:tcPr>
          <w:p>
            <w:pPr>
              <w:jc w:val="center"/>
            </w:pPr>
            <w:r/>
            <w:r>
              <w:rPr>
                <w:sz w:val="17"/>
              </w:rPr>
              <w:t>Heurístico</w:t>
            </w:r>
          </w:p>
        </w:tc>
        <w:tc>
          <w:tcPr>
            <w:tcW w:type="dxa" w:w="1624"/>
          </w:tcPr>
          <w:p>
            <w:pPr>
              <w:jc w:val="center"/>
            </w:pPr>
            <w:r/>
            <w:r>
              <w:rPr>
                <w:sz w:val="17"/>
              </w:rPr>
              <w:t>Única (sin partición)</w:t>
            </w:r>
          </w:p>
        </w:tc>
        <w:tc>
          <w:tcPr>
            <w:tcW w:type="dxa" w:w="1624"/>
          </w:tcPr>
          <w:p>
            <w:pPr>
              <w:jc w:val="center"/>
            </w:pPr>
            <w:r/>
            <w:r>
              <w:rPr>
                <w:sz w:val="17"/>
              </w:rPr>
              <w:t>256</w:t>
            </w:r>
          </w:p>
        </w:tc>
        <w:tc>
          <w:tcPr>
            <w:tcW w:type="dxa" w:w="1624"/>
          </w:tcPr>
          <w:p>
            <w:pPr>
              <w:jc w:val="center"/>
            </w:pPr>
            <w:r/>
            <w:r>
              <w:rPr>
                <w:sz w:val="17"/>
              </w:rPr>
              <w:t>0.667</w:t>
            </w:r>
          </w:p>
        </w:tc>
        <w:tc>
          <w:tcPr>
            <w:tcW w:type="dxa" w:w="1624"/>
          </w:tcPr>
          <w:p>
            <w:pPr>
              <w:jc w:val="center"/>
            </w:pPr>
            <w:r/>
            <w:r>
              <w:rPr>
                <w:sz w:val="17"/>
              </w:rPr>
              <w:t>Aceptable (mejor que el azar)</w:t>
            </w:r>
          </w:p>
        </w:tc>
      </w:tr>
      <w:tr>
        <w:tc>
          <w:tcPr>
            <w:tcW w:type="dxa" w:w="1624"/>
          </w:tcPr>
          <w:p>
            <w:pPr>
              <w:jc w:val="center"/>
            </w:pPr>
            <w:r/>
            <w:r>
              <w:rPr>
                <w:sz w:val="17"/>
              </w:rPr>
              <w:t>WoE (Peso de la Evidencia)</w:t>
            </w:r>
          </w:p>
        </w:tc>
        <w:tc>
          <w:tcPr>
            <w:tcW w:type="dxa" w:w="1624"/>
          </w:tcPr>
          <w:p>
            <w:pPr>
              <w:jc w:val="center"/>
            </w:pPr>
            <w:r/>
            <w:r>
              <w:rPr>
                <w:sz w:val="17"/>
              </w:rPr>
              <w:t>Heurístico</w:t>
            </w:r>
          </w:p>
        </w:tc>
        <w:tc>
          <w:tcPr>
            <w:tcW w:type="dxa" w:w="1624"/>
          </w:tcPr>
          <w:p>
            <w:pPr>
              <w:jc w:val="center"/>
            </w:pPr>
            <w:r/>
            <w:r>
              <w:rPr>
                <w:sz w:val="17"/>
              </w:rPr>
              <w:t>Única (sin partición)</w:t>
            </w:r>
          </w:p>
        </w:tc>
        <w:tc>
          <w:tcPr>
            <w:tcW w:type="dxa" w:w="1624"/>
          </w:tcPr>
          <w:p>
            <w:pPr>
              <w:jc w:val="center"/>
            </w:pPr>
            <w:r/>
            <w:r>
              <w:rPr>
                <w:sz w:val="17"/>
              </w:rPr>
              <w:t>256</w:t>
            </w:r>
          </w:p>
        </w:tc>
        <w:tc>
          <w:tcPr>
            <w:tcW w:type="dxa" w:w="1624"/>
          </w:tcPr>
          <w:p>
            <w:pPr>
              <w:jc w:val="center"/>
            </w:pPr>
            <w:r/>
            <w:r>
              <w:rPr>
                <w:sz w:val="17"/>
              </w:rPr>
              <w:t>0.819</w:t>
            </w:r>
          </w:p>
        </w:tc>
        <w:tc>
          <w:tcPr>
            <w:tcW w:type="dxa" w:w="1624"/>
          </w:tcPr>
          <w:p>
            <w:pPr>
              <w:jc w:val="center"/>
            </w:pPr>
            <w:r/>
            <w:r>
              <w:rPr>
                <w:sz w:val="17"/>
              </w:rPr>
              <w:t>Moderado (moderadamente preciso)</w:t>
            </w:r>
          </w:p>
        </w:tc>
      </w:tr>
      <w:tr>
        <w:tc>
          <w:tcPr>
            <w:tcW w:type="dxa" w:w="1624"/>
          </w:tcPr>
          <w:p>
            <w:pPr>
              <w:jc w:val="center"/>
            </w:pPr>
            <w:r/>
            <w:r>
              <w:rPr>
                <w:sz w:val="17"/>
              </w:rPr>
              <w:t>Regresión Logística</w:t>
            </w:r>
          </w:p>
        </w:tc>
        <w:tc>
          <w:tcPr>
            <w:tcW w:type="dxa" w:w="1624"/>
          </w:tcPr>
          <w:p>
            <w:pPr>
              <w:jc w:val="center"/>
            </w:pPr>
            <w:r/>
            <w:r>
              <w:rPr>
                <w:sz w:val="17"/>
              </w:rPr>
              <w:t>Estadístico/datos</w:t>
            </w:r>
          </w:p>
        </w:tc>
        <w:tc>
          <w:tcPr>
            <w:tcW w:type="dxa" w:w="1624"/>
          </w:tcPr>
          <w:p>
            <w:pPr>
              <w:jc w:val="center"/>
            </w:pPr>
            <w:r/>
            <w:r>
              <w:rPr>
                <w:sz w:val="17"/>
              </w:rPr>
              <w:t>Entrenamiento (80%, predicción)</w:t>
            </w:r>
          </w:p>
        </w:tc>
        <w:tc>
          <w:tcPr>
            <w:tcW w:type="dxa" w:w="1624"/>
          </w:tcPr>
          <w:p>
            <w:pPr>
              <w:jc w:val="center"/>
            </w:pPr>
            <w:r/>
            <w:r>
              <w:rPr>
                <w:sz w:val="17"/>
              </w:rPr>
              <w:t>204</w:t>
            </w:r>
          </w:p>
        </w:tc>
        <w:tc>
          <w:tcPr>
            <w:tcW w:type="dxa" w:w="1624"/>
          </w:tcPr>
          <w:p>
            <w:pPr>
              <w:jc w:val="center"/>
            </w:pPr>
            <w:r/>
            <w:r>
              <w:rPr>
                <w:sz w:val="17"/>
              </w:rPr>
              <w:t>0.898</w:t>
            </w:r>
          </w:p>
        </w:tc>
        <w:tc>
          <w:tcPr>
            <w:tcW w:type="dxa" w:w="1624"/>
          </w:tcPr>
          <w:p>
            <w:pPr>
              <w:jc w:val="center"/>
            </w:pPr>
            <w:r/>
            <w:r>
              <w:rPr>
                <w:sz w:val="17"/>
              </w:rPr>
              <w:t>Moderado (moderadamente preciso)</w:t>
            </w:r>
          </w:p>
        </w:tc>
      </w:tr>
      <w:tr>
        <w:tc>
          <w:tcPr>
            <w:tcW w:type="dxa" w:w="1624"/>
          </w:tcPr>
          <w:p>
            <w:pPr>
              <w:jc w:val="center"/>
            </w:pPr>
            <w:r/>
            <w:r>
              <w:rPr>
                <w:sz w:val="17"/>
              </w:rPr>
              <w:t>Regresión Logística</w:t>
            </w:r>
          </w:p>
        </w:tc>
        <w:tc>
          <w:tcPr>
            <w:tcW w:type="dxa" w:w="1624"/>
          </w:tcPr>
          <w:p>
            <w:pPr>
              <w:jc w:val="center"/>
            </w:pPr>
            <w:r/>
            <w:r>
              <w:rPr>
                <w:sz w:val="17"/>
              </w:rPr>
              <w:t>Estadístico/datos</w:t>
            </w:r>
          </w:p>
        </w:tc>
        <w:tc>
          <w:tcPr>
            <w:tcW w:type="dxa" w:w="1624"/>
          </w:tcPr>
          <w:p>
            <w:pPr>
              <w:jc w:val="center"/>
            </w:pPr>
            <w:r/>
            <w:r>
              <w:rPr>
                <w:sz w:val="17"/>
              </w:rPr>
              <w:t>Validación (20%, éxito)</w:t>
            </w:r>
          </w:p>
        </w:tc>
        <w:tc>
          <w:tcPr>
            <w:tcW w:type="dxa" w:w="1624"/>
          </w:tcPr>
          <w:p>
            <w:pPr>
              <w:jc w:val="center"/>
            </w:pPr>
            <w:r/>
            <w:r>
              <w:rPr>
                <w:sz w:val="17"/>
              </w:rPr>
              <w:t>51</w:t>
            </w:r>
          </w:p>
        </w:tc>
        <w:tc>
          <w:tcPr>
            <w:tcW w:type="dxa" w:w="1624"/>
          </w:tcPr>
          <w:p>
            <w:pPr>
              <w:jc w:val="center"/>
            </w:pPr>
            <w:r/>
            <w:r>
              <w:rPr>
                <w:sz w:val="17"/>
              </w:rPr>
              <w:t>0.729</w:t>
            </w:r>
          </w:p>
        </w:tc>
        <w:tc>
          <w:tcPr>
            <w:tcW w:type="dxa" w:w="1624"/>
          </w:tcPr>
          <w:p>
            <w:pPr>
              <w:jc w:val="center"/>
            </w:pPr>
            <w:r/>
            <w:r>
              <w:rPr>
                <w:sz w:val="17"/>
              </w:rPr>
              <w:t>Moderado (moderadamente preciso)</w:t>
            </w:r>
          </w:p>
        </w:tc>
      </w:tr>
    </w:tbl>
    <w:p>
      <w:pPr>
        <w:spacing w:after="80"/>
      </w:pPr>
    </w:p>
    <w:p>
      <w:pPr>
        <w:spacing w:after="280"/>
        <w:ind w:left="227"/>
      </w:pPr>
      <w:r>
        <w:rPr>
          <w:b/>
          <w:i/>
          <w:color w:val="1E7B34"/>
          <w:sz w:val="21"/>
        </w:rPr>
        <w:t xml:space="preserve">Interpretación: </w:t>
      </w:r>
      <w:r>
        <w:rPr>
          <w:i/>
          <w:color w:val="404040"/>
          <w:sz w:val="21"/>
        </w:rPr>
        <w:t>Ranking de menor a mayor capacidad de discriminación: AHP+Combinado (0.667) &lt; Regresión Logística validación (0.729) &lt; WoE (0.819) &lt; Regresión Logística entrenamiento (0.898). AHP+Combinado queda muy por debajo de WoE y de la Regresión Logística — apenas supera el azar y NO debería presentarse como el modelo final de susceptibilidad de este proyecto sin advertir esta limitación.</w:t>
      </w:r>
    </w:p>
    <w:p>
      <w:pPr>
        <w:pStyle w:val="Heading2"/>
      </w:pPr>
      <w:r>
        <w:rPr>
          <w:color w:val="1F4E79"/>
        </w:rPr>
        <w:t>Recomendaciones</w:t>
      </w:r>
    </w:p>
    <w:p>
      <w:pPr>
        <w:pStyle w:val="ListBullet"/>
      </w:pPr>
      <w:r>
        <w:rPr>
          <w:sz w:val="22"/>
        </w:rPr>
        <w:t>El hallazgo más importante de este informe: al remover Frequency Ratio de AHP+Combinado (para ajustarse al ejemplo de referencia del curso), el AUC cayó de ~0.79-0.82 (versión anterior, con FR) a ~0.54 (versión actual, sin FR) — un cambio metodológico con consecuencias grandes en el desempeño, que vale la pena explicar en la entrega si el profesor pregunta por qué el modelo heurístico puro rinde tan cerca del azar.</w:t>
      </w:r>
    </w:p>
    <w:p>
      <w:pPr>
        <w:pStyle w:val="ListBullet"/>
      </w:pPr>
      <w:r>
        <w:rPr>
          <w:sz w:val="22"/>
        </w:rPr>
        <w:t>Si el objetivo es un mapa de susceptibilidad con buena capacidad predictiva, usar WoE o Regresión Logística, no AHP+Combinado en su forma actual (sin FR).</w:t>
      </w:r>
    </w:p>
    <w:p>
      <w:pPr>
        <w:pStyle w:val="ListBullet"/>
      </w:pPr>
      <w:r>
        <w:rPr>
          <w:sz w:val="22"/>
        </w:rPr>
        <w:t>Para reportar la capacidad predictiva real de la regresión logística, usar el AUC de validación (0.729), no el de entrenamiento (0.898).</w:t>
      </w:r>
    </w:p>
    <w:p>
      <w:pPr>
        <w:pStyle w:val="ListBullet"/>
      </w:pPr>
      <w:r>
        <w:rPr>
          <w:sz w:val="22"/>
        </w:rPr>
        <w:t>La prueba de DeLong confirma con rigor estadístico (no solo con el AUC puntual) que WoE y Regresión superan al método heurístico puro — un argumento sólido para justificar la elección del modelo final ante el profesor.</w:t>
      </w:r>
    </w:p>
    <w:p>
      <w:r>
        <w:br w:type="page"/>
      </w:r>
    </w:p>
    <w:p>
      <w:pPr>
        <w:pStyle w:val="Heading1"/>
      </w:pPr>
      <w:r>
        <w:rPr>
          <w:color w:val="1F4E79"/>
        </w:rPr>
        <w:t>7. Mapas de susceptibilidad — criterio del SGC (3 clases)</w:t>
      </w:r>
    </w:p>
    <w:p>
      <w:pPr>
        <w:spacing w:after="160"/>
      </w:pPr>
      <w:r>
        <w:rPr>
          <w:b w:val="0"/>
          <w:i w:val="0"/>
          <w:sz w:val="22"/>
        </w:rPr>
        <w:t>El profesor pidió construir el mapa de susceptibilidad de cada método clasificando en 3 niveles según el criterio del SGC: Alta = 75% de los movimientos reales, Media = el siguiente 23% (acumulado 98%), Baja = el resto (acumulado 100%). El umbral de cada clase se obtiene de la curva ROC/de éxito: se ordenan los 128 movimientos reales por su score de mayor a menor, y se toma el score del movimiento que ocupa la posición del percentil correspondiente (p. ej. la posición 96 de 128 para el 75%) — ese score es el umbral que separa Alta de Media. El mismo criterio se aplicó a los 3 modelos usando su curva de éxito "completa" (100% de los datos, sin partición, igual que en la sección 5 de DeLong).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tcPr>
          <w:p>
            <w:pPr>
              <w:jc w:val="center"/>
            </w:pPr>
            <w:r/>
            <w:r>
              <w:rPr>
                <w:b/>
                <w:color w:val="FFFFFF"/>
                <w:sz w:val="18"/>
              </w:rPr>
              <w:t>modelo</w:t>
            </w:r>
          </w:p>
        </w:tc>
        <w:tc>
          <w:tcPr>
            <w:tcW w:type="dxa" w:w="2436"/>
            <w:shd w:fill="1F4E79"/>
          </w:tcPr>
          <w:p>
            <w:pPr>
              <w:jc w:val="center"/>
            </w:pPr>
            <w:r/>
            <w:r>
              <w:rPr>
                <w:b/>
                <w:color w:val="FFFFFF"/>
                <w:sz w:val="18"/>
              </w:rPr>
              <w:t>pct_area_Baja</w:t>
            </w:r>
          </w:p>
        </w:tc>
        <w:tc>
          <w:tcPr>
            <w:tcW w:type="dxa" w:w="2436"/>
            <w:shd w:fill="1F4E79"/>
          </w:tcPr>
          <w:p>
            <w:pPr>
              <w:jc w:val="center"/>
            </w:pPr>
            <w:r/>
            <w:r>
              <w:rPr>
                <w:b/>
                <w:color w:val="FFFFFF"/>
                <w:sz w:val="18"/>
              </w:rPr>
              <w:t>pct_area_Media</w:t>
            </w:r>
          </w:p>
        </w:tc>
        <w:tc>
          <w:tcPr>
            <w:tcW w:type="dxa" w:w="2436"/>
            <w:shd w:fill="1F4E79"/>
          </w:tcPr>
          <w:p>
            <w:pPr>
              <w:jc w:val="center"/>
            </w:pPr>
            <w:r/>
            <w:r>
              <w:rPr>
                <w:b/>
                <w:color w:val="FFFFFF"/>
                <w:sz w:val="18"/>
              </w:rPr>
              <w:t>pct_area_Alta</w:t>
            </w:r>
          </w:p>
        </w:tc>
      </w:tr>
      <w:tr>
        <w:tc>
          <w:tcPr>
            <w:tcW w:type="dxa" w:w="2436"/>
          </w:tcPr>
          <w:p>
            <w:pPr>
              <w:jc w:val="center"/>
            </w:pPr>
            <w:r/>
            <w:r>
              <w:rPr>
                <w:sz w:val="18"/>
              </w:rPr>
              <w:t>AHP + Combinado</w:t>
            </w:r>
          </w:p>
        </w:tc>
        <w:tc>
          <w:tcPr>
            <w:tcW w:type="dxa" w:w="2436"/>
          </w:tcPr>
          <w:p>
            <w:pPr>
              <w:jc w:val="center"/>
            </w:pPr>
            <w:r/>
            <w:r>
              <w:rPr>
                <w:sz w:val="18"/>
              </w:rPr>
              <w:t>7.82</w:t>
            </w:r>
          </w:p>
        </w:tc>
        <w:tc>
          <w:tcPr>
            <w:tcW w:type="dxa" w:w="2436"/>
          </w:tcPr>
          <w:p>
            <w:pPr>
              <w:jc w:val="center"/>
            </w:pPr>
            <w:r/>
            <w:r>
              <w:rPr>
                <w:sz w:val="18"/>
              </w:rPr>
              <w:t>28.46</w:t>
            </w:r>
          </w:p>
        </w:tc>
        <w:tc>
          <w:tcPr>
            <w:tcW w:type="dxa" w:w="2436"/>
          </w:tcPr>
          <w:p>
            <w:pPr>
              <w:jc w:val="center"/>
            </w:pPr>
            <w:r/>
            <w:r>
              <w:rPr>
                <w:sz w:val="18"/>
              </w:rPr>
              <w:t>63.72</w:t>
            </w:r>
          </w:p>
        </w:tc>
      </w:tr>
      <w:tr>
        <w:tc>
          <w:tcPr>
            <w:tcW w:type="dxa" w:w="2436"/>
          </w:tcPr>
          <w:p>
            <w:pPr>
              <w:jc w:val="center"/>
            </w:pPr>
            <w:r/>
            <w:r>
              <w:rPr>
                <w:sz w:val="18"/>
              </w:rPr>
              <w:t>WoE</w:t>
            </w:r>
          </w:p>
        </w:tc>
        <w:tc>
          <w:tcPr>
            <w:tcW w:type="dxa" w:w="2436"/>
          </w:tcPr>
          <w:p>
            <w:pPr>
              <w:jc w:val="center"/>
            </w:pPr>
            <w:r/>
            <w:r>
              <w:rPr>
                <w:sz w:val="18"/>
              </w:rPr>
              <w:t>3.27</w:t>
            </w:r>
          </w:p>
        </w:tc>
        <w:tc>
          <w:tcPr>
            <w:tcW w:type="dxa" w:w="2436"/>
          </w:tcPr>
          <w:p>
            <w:pPr>
              <w:jc w:val="center"/>
            </w:pPr>
            <w:r/>
            <w:r>
              <w:rPr>
                <w:sz w:val="18"/>
              </w:rPr>
              <w:t>54.59</w:t>
            </w:r>
          </w:p>
        </w:tc>
        <w:tc>
          <w:tcPr>
            <w:tcW w:type="dxa" w:w="2436"/>
          </w:tcPr>
          <w:p>
            <w:pPr>
              <w:jc w:val="center"/>
            </w:pPr>
            <w:r/>
            <w:r>
              <w:rPr>
                <w:sz w:val="18"/>
              </w:rPr>
              <w:t>42.15</w:t>
            </w:r>
          </w:p>
        </w:tc>
      </w:tr>
      <w:tr>
        <w:tc>
          <w:tcPr>
            <w:tcW w:type="dxa" w:w="2436"/>
          </w:tcPr>
          <w:p>
            <w:pPr>
              <w:jc w:val="center"/>
            </w:pPr>
            <w:r/>
            <w:r>
              <w:rPr>
                <w:sz w:val="18"/>
              </w:rPr>
              <w:t>Regresión Logística</w:t>
            </w:r>
          </w:p>
        </w:tc>
        <w:tc>
          <w:tcPr>
            <w:tcW w:type="dxa" w:w="2436"/>
          </w:tcPr>
          <w:p>
            <w:pPr>
              <w:jc w:val="center"/>
            </w:pPr>
            <w:r/>
            <w:r>
              <w:rPr>
                <w:sz w:val="18"/>
              </w:rPr>
              <w:t>12.54</w:t>
            </w:r>
          </w:p>
        </w:tc>
        <w:tc>
          <w:tcPr>
            <w:tcW w:type="dxa" w:w="2436"/>
          </w:tcPr>
          <w:p>
            <w:pPr>
              <w:jc w:val="center"/>
            </w:pPr>
            <w:r/>
            <w:r>
              <w:rPr>
                <w:sz w:val="18"/>
              </w:rPr>
              <w:t>39.24</w:t>
            </w:r>
          </w:p>
        </w:tc>
        <w:tc>
          <w:tcPr>
            <w:tcW w:type="dxa" w:w="2436"/>
          </w:tcPr>
          <w:p>
            <w:pPr>
              <w:jc w:val="center"/>
            </w:pPr>
            <w:r/>
            <w:r>
              <w:rPr>
                <w:sz w:val="18"/>
              </w:rPr>
              <w:t>48.22</w:t>
            </w:r>
          </w:p>
        </w:tc>
      </w:tr>
    </w:tbl>
    <w:p>
      <w:pPr>
        <w:spacing w:after="80"/>
      </w:pPr>
    </w:p>
    <w:p>
      <w:pPr>
        <w:spacing w:after="280"/>
        <w:ind w:left="227"/>
      </w:pPr>
      <w:r>
        <w:rPr>
          <w:b/>
          <w:i/>
          <w:color w:val="1E7B34"/>
          <w:sz w:val="21"/>
        </w:rPr>
        <w:t xml:space="preserve">Interpretación: </w:t>
      </w:r>
      <w:r>
        <w:rPr>
          <w:i/>
          <w:color w:val="404040"/>
          <w:sz w:val="21"/>
        </w:rPr>
        <w:t>Por construcción, la clase "Alta" de los 3 mapas contiene exactamente el 75% de los movimientos reales (así se calibró el umbral) — la diferencia real entre modelos es CUÁNTA ÁREA de la cuenca necesita cada uno para capturar ese 75%: menos área = modelo más útil en la práctica, porque concentra el riesgo en una zona más pequeña y manejable. AHP+Combinado necesita el 69.5% de la cuenca en "Alta" — prácticamente inútil para priorizar zonas, coherente con su AUC apenas por encima del azar. WoE es el más concentrado (42.2% de área en "Alta"). Regresión Logística, pese a tener el AUC más alto (0.869), necesita más área que WoE (48.2%) para llegar al mismo 75% de movimientos — esto no es una contradicción: el AUC mide qué tan bien el modelo ORDENA los puntos en general, mientras que esta métrica mide qué tan CONCENTRADA queda la probabilidad en el mapa completo; con 3 de sus 5 variables categóricas (uso_actual, geología, geomorfología), la regresión asigna probabilidades casi idénticas a polígonos completos de esas categorías, generando bloques grandes y contiguos de "Alta" en vez de una zonificación más fina.</w:t>
      </w:r>
    </w:p>
    <w:p>
      <w:pPr>
        <w:jc w:val="center"/>
      </w:pPr>
      <w:r>
        <w:drawing>
          <wp:inline xmlns:a="http://schemas.openxmlformats.org/drawingml/2006/main" xmlns:pic="http://schemas.openxmlformats.org/drawingml/2006/picture">
            <wp:extent cx="5760720" cy="3099301"/>
            <wp:docPr id="5" name="Picture 5"/>
            <wp:cNvGraphicFramePr>
              <a:graphicFrameLocks noChangeAspect="1"/>
            </wp:cNvGraphicFramePr>
            <a:graphic>
              <a:graphicData uri="http://schemas.openxmlformats.org/drawingml/2006/picture">
                <pic:pic>
                  <pic:nvPicPr>
                    <pic:cNvPr id="0" name="comparacion_3_mapas_susceptibilidad.png"/>
                    <pic:cNvPicPr/>
                  </pic:nvPicPr>
                  <pic:blipFill>
                    <a:blip r:embed="rId13"/>
                    <a:stretch>
                      <a:fillRect/>
                    </a:stretch>
                  </pic:blipFill>
                  <pic:spPr>
                    <a:xfrm>
                      <a:off x="0" y="0"/>
                      <a:ext cx="5760720" cy="3099301"/>
                    </a:xfrm>
                    <a:prstGeom prst="rect"/>
                  </pic:spPr>
                </pic:pic>
              </a:graphicData>
            </a:graphic>
          </wp:inline>
        </w:drawing>
      </w:r>
    </w:p>
    <w:p>
      <w:pPr>
        <w:spacing w:after="80"/>
        <w:jc w:val="center"/>
      </w:pPr>
      <w:r>
        <w:rPr>
          <w:i/>
          <w:color w:val="404040"/>
          <w:sz w:val="19"/>
        </w:rPr>
        <w:t>Figura 7.1. Comparación de los 3 mapas de susceptibilidad clasificados (SGC).</w:t>
      </w:r>
    </w:p>
    <w:p>
      <w:pPr>
        <w:pStyle w:val="Heading2"/>
      </w:pPr>
      <w:r>
        <w:rPr>
          <w:color w:val="1F4E79"/>
        </w:rPr>
        <w:t>Mapa — AHP + Combinado</w:t>
      </w:r>
    </w:p>
    <w:p>
      <w:pPr>
        <w:jc w:val="center"/>
      </w:pPr>
      <w:r>
        <w:drawing>
          <wp:inline xmlns:a="http://schemas.openxmlformats.org/drawingml/2006/main" xmlns:pic="http://schemas.openxmlformats.org/drawingml/2006/picture">
            <wp:extent cx="4206240" cy="3680460"/>
            <wp:docPr id="6" name="Picture 6"/>
            <wp:cNvGraphicFramePr>
              <a:graphicFrameLocks noChangeAspect="1"/>
            </wp:cNvGraphicFramePr>
            <a:graphic>
              <a:graphicData uri="http://schemas.openxmlformats.org/drawingml/2006/picture">
                <pic:pic>
                  <pic:nvPicPr>
                    <pic:cNvPr id="0" name="mapa_susceptibilidad_AHP_3clases.png"/>
                    <pic:cNvPicPr/>
                  </pic:nvPicPr>
                  <pic:blipFill>
                    <a:blip r:embed="rId14"/>
                    <a:stretch>
                      <a:fillRect/>
                    </a:stretch>
                  </pic:blipFill>
                  <pic:spPr>
                    <a:xfrm>
                      <a:off x="0" y="0"/>
                      <a:ext cx="4206240" cy="3680460"/>
                    </a:xfrm>
                    <a:prstGeom prst="rect"/>
                  </pic:spPr>
                </pic:pic>
              </a:graphicData>
            </a:graphic>
          </wp:inline>
        </w:drawing>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tcPr>
          <w:p>
            <w:pPr>
              <w:jc w:val="center"/>
            </w:pPr>
            <w:r/>
            <w:r>
              <w:rPr>
                <w:b/>
                <w:color w:val="FFFFFF"/>
                <w:sz w:val="18"/>
              </w:rPr>
              <w:t>clase</w:t>
            </w:r>
          </w:p>
        </w:tc>
        <w:tc>
          <w:tcPr>
            <w:tcW w:type="dxa" w:w="2436"/>
            <w:shd w:fill="1F4E79"/>
          </w:tcPr>
          <w:p>
            <w:pPr>
              <w:jc w:val="center"/>
            </w:pPr>
            <w:r/>
            <w:r>
              <w:rPr>
                <w:b/>
                <w:color w:val="FFFFFF"/>
                <w:sz w:val="18"/>
              </w:rPr>
              <w:t>n_puntos_total</w:t>
            </w:r>
          </w:p>
        </w:tc>
        <w:tc>
          <w:tcPr>
            <w:tcW w:type="dxa" w:w="2436"/>
            <w:shd w:fill="1F4E79"/>
          </w:tcPr>
          <w:p>
            <w:pPr>
              <w:jc w:val="center"/>
            </w:pPr>
            <w:r/>
            <w:r>
              <w:rPr>
                <w:b/>
                <w:color w:val="FFFFFF"/>
                <w:sz w:val="18"/>
              </w:rPr>
              <w:t>n_movimientos</w:t>
            </w:r>
          </w:p>
        </w:tc>
        <w:tc>
          <w:tcPr>
            <w:tcW w:type="dxa" w:w="2436"/>
            <w:shd w:fill="1F4E79"/>
          </w:tcPr>
          <w:p>
            <w:pPr>
              <w:jc w:val="center"/>
            </w:pPr>
            <w:r/>
            <w:r>
              <w:rPr>
                <w:b/>
                <w:color w:val="FFFFFF"/>
                <w:sz w:val="18"/>
              </w:rPr>
              <w:t>pct_movimientos</w:t>
            </w:r>
          </w:p>
        </w:tc>
      </w:tr>
      <w:tr>
        <w:tc>
          <w:tcPr>
            <w:tcW w:type="dxa" w:w="2436"/>
          </w:tcPr>
          <w:p>
            <w:pPr>
              <w:jc w:val="center"/>
            </w:pPr>
            <w:r/>
            <w:r>
              <w:rPr>
                <w:sz w:val="18"/>
              </w:rPr>
              <w:t>Baja</w:t>
            </w:r>
          </w:p>
        </w:tc>
        <w:tc>
          <w:tcPr>
            <w:tcW w:type="dxa" w:w="2436"/>
          </w:tcPr>
          <w:p>
            <w:pPr>
              <w:jc w:val="center"/>
            </w:pPr>
            <w:r/>
            <w:r>
              <w:rPr>
                <w:sz w:val="18"/>
              </w:rPr>
              <w:t>14</w:t>
            </w:r>
          </w:p>
        </w:tc>
        <w:tc>
          <w:tcPr>
            <w:tcW w:type="dxa" w:w="2436"/>
          </w:tcPr>
          <w:p>
            <w:pPr>
              <w:jc w:val="center"/>
            </w:pPr>
            <w:r/>
            <w:r>
              <w:rPr>
                <w:sz w:val="18"/>
              </w:rPr>
              <w:t>2</w:t>
            </w:r>
          </w:p>
        </w:tc>
        <w:tc>
          <w:tcPr>
            <w:tcW w:type="dxa" w:w="2436"/>
          </w:tcPr>
          <w:p>
            <w:pPr>
              <w:jc w:val="center"/>
            </w:pPr>
            <w:r/>
            <w:r>
              <w:rPr>
                <w:sz w:val="18"/>
              </w:rPr>
              <w:t>1.6</w:t>
            </w:r>
          </w:p>
        </w:tc>
      </w:tr>
      <w:tr>
        <w:tc>
          <w:tcPr>
            <w:tcW w:type="dxa" w:w="2436"/>
          </w:tcPr>
          <w:p>
            <w:pPr>
              <w:jc w:val="center"/>
            </w:pPr>
            <w:r/>
            <w:r>
              <w:rPr>
                <w:sz w:val="18"/>
              </w:rPr>
              <w:t>Media</w:t>
            </w:r>
          </w:p>
        </w:tc>
        <w:tc>
          <w:tcPr>
            <w:tcW w:type="dxa" w:w="2436"/>
          </w:tcPr>
          <w:p>
            <w:pPr>
              <w:jc w:val="center"/>
            </w:pPr>
            <w:r/>
            <w:r>
              <w:rPr>
                <w:sz w:val="18"/>
              </w:rPr>
              <w:t>73</w:t>
            </w:r>
          </w:p>
        </w:tc>
        <w:tc>
          <w:tcPr>
            <w:tcW w:type="dxa" w:w="2436"/>
          </w:tcPr>
          <w:p>
            <w:pPr>
              <w:jc w:val="center"/>
            </w:pPr>
            <w:r/>
            <w:r>
              <w:rPr>
                <w:sz w:val="18"/>
              </w:rPr>
              <w:t>30</w:t>
            </w:r>
          </w:p>
        </w:tc>
        <w:tc>
          <w:tcPr>
            <w:tcW w:type="dxa" w:w="2436"/>
          </w:tcPr>
          <w:p>
            <w:pPr>
              <w:jc w:val="center"/>
            </w:pPr>
            <w:r/>
            <w:r>
              <w:rPr>
                <w:sz w:val="18"/>
              </w:rPr>
              <w:t>23.4</w:t>
            </w:r>
          </w:p>
        </w:tc>
      </w:tr>
      <w:tr>
        <w:tc>
          <w:tcPr>
            <w:tcW w:type="dxa" w:w="2436"/>
          </w:tcPr>
          <w:p>
            <w:pPr>
              <w:jc w:val="center"/>
            </w:pPr>
            <w:r/>
            <w:r>
              <w:rPr>
                <w:sz w:val="18"/>
              </w:rPr>
              <w:t>Alta</w:t>
            </w:r>
          </w:p>
        </w:tc>
        <w:tc>
          <w:tcPr>
            <w:tcW w:type="dxa" w:w="2436"/>
          </w:tcPr>
          <w:p>
            <w:pPr>
              <w:jc w:val="center"/>
            </w:pPr>
            <w:r/>
            <w:r>
              <w:rPr>
                <w:sz w:val="18"/>
              </w:rPr>
              <w:t>169</w:t>
            </w:r>
          </w:p>
        </w:tc>
        <w:tc>
          <w:tcPr>
            <w:tcW w:type="dxa" w:w="2436"/>
          </w:tcPr>
          <w:p>
            <w:pPr>
              <w:jc w:val="center"/>
            </w:pPr>
            <w:r/>
            <w:r>
              <w:rPr>
                <w:sz w:val="18"/>
              </w:rPr>
              <w:t>96</w:t>
            </w:r>
          </w:p>
        </w:tc>
        <w:tc>
          <w:tcPr>
            <w:tcW w:type="dxa" w:w="2436"/>
          </w:tcPr>
          <w:p>
            <w:pPr>
              <w:jc w:val="center"/>
            </w:pPr>
            <w:r/>
            <w:r>
              <w:rPr>
                <w:sz w:val="18"/>
              </w:rPr>
              <w:t>75.0</w:t>
            </w:r>
          </w:p>
        </w:tc>
      </w:tr>
    </w:tbl>
    <w:p>
      <w:pPr>
        <w:spacing w:after="80"/>
      </w:pPr>
    </w:p>
    <w:p>
      <w:pPr>
        <w:pStyle w:val="Heading2"/>
      </w:pPr>
      <w:r>
        <w:rPr>
          <w:color w:val="1F4E79"/>
        </w:rPr>
        <w:t>Mapa — WoE</w:t>
      </w:r>
    </w:p>
    <w:p>
      <w:pPr>
        <w:jc w:val="center"/>
      </w:pPr>
      <w:r>
        <w:drawing>
          <wp:inline xmlns:a="http://schemas.openxmlformats.org/drawingml/2006/main" xmlns:pic="http://schemas.openxmlformats.org/drawingml/2006/picture">
            <wp:extent cx="4206240" cy="3680460"/>
            <wp:docPr id="7" name="Picture 7"/>
            <wp:cNvGraphicFramePr>
              <a:graphicFrameLocks noChangeAspect="1"/>
            </wp:cNvGraphicFramePr>
            <a:graphic>
              <a:graphicData uri="http://schemas.openxmlformats.org/drawingml/2006/picture">
                <pic:pic>
                  <pic:nvPicPr>
                    <pic:cNvPr id="0" name="mapa_susceptibilidad_WoE_3clases.png"/>
                    <pic:cNvPicPr/>
                  </pic:nvPicPr>
                  <pic:blipFill>
                    <a:blip r:embed="rId15"/>
                    <a:stretch>
                      <a:fillRect/>
                    </a:stretch>
                  </pic:blipFill>
                  <pic:spPr>
                    <a:xfrm>
                      <a:off x="0" y="0"/>
                      <a:ext cx="4206240" cy="3680460"/>
                    </a:xfrm>
                    <a:prstGeom prst="rect"/>
                  </pic:spPr>
                </pic:pic>
              </a:graphicData>
            </a:graphic>
          </wp:inline>
        </w:drawing>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tcPr>
          <w:p>
            <w:pPr>
              <w:jc w:val="center"/>
            </w:pPr>
            <w:r/>
            <w:r>
              <w:rPr>
                <w:b/>
                <w:color w:val="FFFFFF"/>
                <w:sz w:val="18"/>
              </w:rPr>
              <w:t>clase</w:t>
            </w:r>
          </w:p>
        </w:tc>
        <w:tc>
          <w:tcPr>
            <w:tcW w:type="dxa" w:w="2436"/>
            <w:shd w:fill="1F4E79"/>
          </w:tcPr>
          <w:p>
            <w:pPr>
              <w:jc w:val="center"/>
            </w:pPr>
            <w:r/>
            <w:r>
              <w:rPr>
                <w:b/>
                <w:color w:val="FFFFFF"/>
                <w:sz w:val="18"/>
              </w:rPr>
              <w:t>n_puntos_total</w:t>
            </w:r>
          </w:p>
        </w:tc>
        <w:tc>
          <w:tcPr>
            <w:tcW w:type="dxa" w:w="2436"/>
            <w:shd w:fill="1F4E79"/>
          </w:tcPr>
          <w:p>
            <w:pPr>
              <w:jc w:val="center"/>
            </w:pPr>
            <w:r/>
            <w:r>
              <w:rPr>
                <w:b/>
                <w:color w:val="FFFFFF"/>
                <w:sz w:val="18"/>
              </w:rPr>
              <w:t>n_movimientos</w:t>
            </w:r>
          </w:p>
        </w:tc>
        <w:tc>
          <w:tcPr>
            <w:tcW w:type="dxa" w:w="2436"/>
            <w:shd w:fill="1F4E79"/>
          </w:tcPr>
          <w:p>
            <w:pPr>
              <w:jc w:val="center"/>
            </w:pPr>
            <w:r/>
            <w:r>
              <w:rPr>
                <w:b/>
                <w:color w:val="FFFFFF"/>
                <w:sz w:val="18"/>
              </w:rPr>
              <w:t>pct_movimientos</w:t>
            </w:r>
          </w:p>
        </w:tc>
      </w:tr>
      <w:tr>
        <w:tc>
          <w:tcPr>
            <w:tcW w:type="dxa" w:w="2436"/>
          </w:tcPr>
          <w:p>
            <w:pPr>
              <w:jc w:val="center"/>
            </w:pPr>
            <w:r/>
            <w:r>
              <w:rPr>
                <w:sz w:val="18"/>
              </w:rPr>
              <w:t>Baja</w:t>
            </w:r>
          </w:p>
        </w:tc>
        <w:tc>
          <w:tcPr>
            <w:tcW w:type="dxa" w:w="2436"/>
          </w:tcPr>
          <w:p>
            <w:pPr>
              <w:jc w:val="center"/>
            </w:pPr>
            <w:r/>
            <w:r>
              <w:rPr>
                <w:sz w:val="18"/>
              </w:rPr>
              <w:t>7</w:t>
            </w:r>
          </w:p>
        </w:tc>
        <w:tc>
          <w:tcPr>
            <w:tcW w:type="dxa" w:w="2436"/>
          </w:tcPr>
          <w:p>
            <w:pPr>
              <w:jc w:val="center"/>
            </w:pPr>
            <w:r/>
            <w:r>
              <w:rPr>
                <w:sz w:val="18"/>
              </w:rPr>
              <w:t>2</w:t>
            </w:r>
          </w:p>
        </w:tc>
        <w:tc>
          <w:tcPr>
            <w:tcW w:type="dxa" w:w="2436"/>
          </w:tcPr>
          <w:p>
            <w:pPr>
              <w:jc w:val="center"/>
            </w:pPr>
            <w:r/>
            <w:r>
              <w:rPr>
                <w:sz w:val="18"/>
              </w:rPr>
              <w:t>1.6</w:t>
            </w:r>
          </w:p>
        </w:tc>
      </w:tr>
      <w:tr>
        <w:tc>
          <w:tcPr>
            <w:tcW w:type="dxa" w:w="2436"/>
          </w:tcPr>
          <w:p>
            <w:pPr>
              <w:jc w:val="center"/>
            </w:pPr>
            <w:r/>
            <w:r>
              <w:rPr>
                <w:sz w:val="18"/>
              </w:rPr>
              <w:t>Media</w:t>
            </w:r>
          </w:p>
        </w:tc>
        <w:tc>
          <w:tcPr>
            <w:tcW w:type="dxa" w:w="2436"/>
          </w:tcPr>
          <w:p>
            <w:pPr>
              <w:jc w:val="center"/>
            </w:pPr>
            <w:r/>
            <w:r>
              <w:rPr>
                <w:sz w:val="18"/>
              </w:rPr>
              <w:t>129</w:t>
            </w:r>
          </w:p>
        </w:tc>
        <w:tc>
          <w:tcPr>
            <w:tcW w:type="dxa" w:w="2436"/>
          </w:tcPr>
          <w:p>
            <w:pPr>
              <w:jc w:val="center"/>
            </w:pPr>
            <w:r/>
            <w:r>
              <w:rPr>
                <w:sz w:val="18"/>
              </w:rPr>
              <w:t>30</w:t>
            </w:r>
          </w:p>
        </w:tc>
        <w:tc>
          <w:tcPr>
            <w:tcW w:type="dxa" w:w="2436"/>
          </w:tcPr>
          <w:p>
            <w:pPr>
              <w:jc w:val="center"/>
            </w:pPr>
            <w:r/>
            <w:r>
              <w:rPr>
                <w:sz w:val="18"/>
              </w:rPr>
              <w:t>23.4</w:t>
            </w:r>
          </w:p>
        </w:tc>
      </w:tr>
      <w:tr>
        <w:tc>
          <w:tcPr>
            <w:tcW w:type="dxa" w:w="2436"/>
          </w:tcPr>
          <w:p>
            <w:pPr>
              <w:jc w:val="center"/>
            </w:pPr>
            <w:r/>
            <w:r>
              <w:rPr>
                <w:sz w:val="18"/>
              </w:rPr>
              <w:t>Alta</w:t>
            </w:r>
          </w:p>
        </w:tc>
        <w:tc>
          <w:tcPr>
            <w:tcW w:type="dxa" w:w="2436"/>
          </w:tcPr>
          <w:p>
            <w:pPr>
              <w:jc w:val="center"/>
            </w:pPr>
            <w:r/>
            <w:r>
              <w:rPr>
                <w:sz w:val="18"/>
              </w:rPr>
              <w:t>120</w:t>
            </w:r>
          </w:p>
        </w:tc>
        <w:tc>
          <w:tcPr>
            <w:tcW w:type="dxa" w:w="2436"/>
          </w:tcPr>
          <w:p>
            <w:pPr>
              <w:jc w:val="center"/>
            </w:pPr>
            <w:r/>
            <w:r>
              <w:rPr>
                <w:sz w:val="18"/>
              </w:rPr>
              <w:t>96</w:t>
            </w:r>
          </w:p>
        </w:tc>
        <w:tc>
          <w:tcPr>
            <w:tcW w:type="dxa" w:w="2436"/>
          </w:tcPr>
          <w:p>
            <w:pPr>
              <w:jc w:val="center"/>
            </w:pPr>
            <w:r/>
            <w:r>
              <w:rPr>
                <w:sz w:val="18"/>
              </w:rPr>
              <w:t>75.0</w:t>
            </w:r>
          </w:p>
        </w:tc>
      </w:tr>
    </w:tbl>
    <w:p>
      <w:pPr>
        <w:spacing w:after="80"/>
      </w:pPr>
    </w:p>
    <w:p>
      <w:pPr>
        <w:pStyle w:val="Heading2"/>
      </w:pPr>
      <w:r>
        <w:rPr>
          <w:color w:val="1F4E79"/>
        </w:rPr>
        <w:t>Mapa — Regresión Logística</w:t>
      </w:r>
    </w:p>
    <w:p>
      <w:pPr>
        <w:jc w:val="center"/>
      </w:pPr>
      <w:r>
        <w:drawing>
          <wp:inline xmlns:a="http://schemas.openxmlformats.org/drawingml/2006/main" xmlns:pic="http://schemas.openxmlformats.org/drawingml/2006/picture">
            <wp:extent cx="4206240" cy="3680460"/>
            <wp:docPr id="8" name="Picture 8"/>
            <wp:cNvGraphicFramePr>
              <a:graphicFrameLocks noChangeAspect="1"/>
            </wp:cNvGraphicFramePr>
            <a:graphic>
              <a:graphicData uri="http://schemas.openxmlformats.org/drawingml/2006/picture">
                <pic:pic>
                  <pic:nvPicPr>
                    <pic:cNvPr id="0" name="mapa_susceptibilidad_Regresion_3clases.png"/>
                    <pic:cNvPicPr/>
                  </pic:nvPicPr>
                  <pic:blipFill>
                    <a:blip r:embed="rId16"/>
                    <a:stretch>
                      <a:fillRect/>
                    </a:stretch>
                  </pic:blipFill>
                  <pic:spPr>
                    <a:xfrm>
                      <a:off x="0" y="0"/>
                      <a:ext cx="4206240" cy="3680460"/>
                    </a:xfrm>
                    <a:prstGeom prst="rect"/>
                  </pic:spPr>
                </pic:pic>
              </a:graphicData>
            </a:graphic>
          </wp:inline>
        </w:drawing>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tcPr>
          <w:p>
            <w:pPr>
              <w:jc w:val="center"/>
            </w:pPr>
            <w:r/>
            <w:r>
              <w:rPr>
                <w:b/>
                <w:color w:val="FFFFFF"/>
                <w:sz w:val="18"/>
              </w:rPr>
              <w:t>clase</w:t>
            </w:r>
          </w:p>
        </w:tc>
        <w:tc>
          <w:tcPr>
            <w:tcW w:type="dxa" w:w="2436"/>
            <w:shd w:fill="1F4E79"/>
          </w:tcPr>
          <w:p>
            <w:pPr>
              <w:jc w:val="center"/>
            </w:pPr>
            <w:r/>
            <w:r>
              <w:rPr>
                <w:b/>
                <w:color w:val="FFFFFF"/>
                <w:sz w:val="18"/>
              </w:rPr>
              <w:t>n_puntos_total</w:t>
            </w:r>
          </w:p>
        </w:tc>
        <w:tc>
          <w:tcPr>
            <w:tcW w:type="dxa" w:w="2436"/>
            <w:shd w:fill="1F4E79"/>
          </w:tcPr>
          <w:p>
            <w:pPr>
              <w:jc w:val="center"/>
            </w:pPr>
            <w:r/>
            <w:r>
              <w:rPr>
                <w:b/>
                <w:color w:val="FFFFFF"/>
                <w:sz w:val="18"/>
              </w:rPr>
              <w:t>n_movimientos</w:t>
            </w:r>
          </w:p>
        </w:tc>
        <w:tc>
          <w:tcPr>
            <w:tcW w:type="dxa" w:w="2436"/>
            <w:shd w:fill="1F4E79"/>
          </w:tcPr>
          <w:p>
            <w:pPr>
              <w:jc w:val="center"/>
            </w:pPr>
            <w:r/>
            <w:r>
              <w:rPr>
                <w:b/>
                <w:color w:val="FFFFFF"/>
                <w:sz w:val="18"/>
              </w:rPr>
              <w:t>pct_movimientos</w:t>
            </w:r>
          </w:p>
        </w:tc>
      </w:tr>
      <w:tr>
        <w:tc>
          <w:tcPr>
            <w:tcW w:type="dxa" w:w="2436"/>
          </w:tcPr>
          <w:p>
            <w:pPr>
              <w:jc w:val="center"/>
            </w:pPr>
            <w:r/>
            <w:r>
              <w:rPr>
                <w:sz w:val="18"/>
              </w:rPr>
              <w:t>Baja</w:t>
            </w:r>
          </w:p>
        </w:tc>
        <w:tc>
          <w:tcPr>
            <w:tcW w:type="dxa" w:w="2436"/>
          </w:tcPr>
          <w:p>
            <w:pPr>
              <w:jc w:val="center"/>
            </w:pPr>
            <w:r/>
            <w:r>
              <w:rPr>
                <w:sz w:val="18"/>
              </w:rPr>
              <w:t>28</w:t>
            </w:r>
          </w:p>
        </w:tc>
        <w:tc>
          <w:tcPr>
            <w:tcW w:type="dxa" w:w="2436"/>
          </w:tcPr>
          <w:p>
            <w:pPr>
              <w:jc w:val="center"/>
            </w:pPr>
            <w:r/>
            <w:r>
              <w:rPr>
                <w:sz w:val="18"/>
              </w:rPr>
              <w:t>2</w:t>
            </w:r>
          </w:p>
        </w:tc>
        <w:tc>
          <w:tcPr>
            <w:tcW w:type="dxa" w:w="2436"/>
          </w:tcPr>
          <w:p>
            <w:pPr>
              <w:jc w:val="center"/>
            </w:pPr>
            <w:r/>
            <w:r>
              <w:rPr>
                <w:sz w:val="18"/>
              </w:rPr>
              <w:t>1.6</w:t>
            </w:r>
          </w:p>
        </w:tc>
      </w:tr>
      <w:tr>
        <w:tc>
          <w:tcPr>
            <w:tcW w:type="dxa" w:w="2436"/>
          </w:tcPr>
          <w:p>
            <w:pPr>
              <w:jc w:val="center"/>
            </w:pPr>
            <w:r/>
            <w:r>
              <w:rPr>
                <w:sz w:val="18"/>
              </w:rPr>
              <w:t>Media</w:t>
            </w:r>
          </w:p>
        </w:tc>
        <w:tc>
          <w:tcPr>
            <w:tcW w:type="dxa" w:w="2436"/>
          </w:tcPr>
          <w:p>
            <w:pPr>
              <w:jc w:val="center"/>
            </w:pPr>
            <w:r/>
            <w:r>
              <w:rPr>
                <w:sz w:val="18"/>
              </w:rPr>
              <w:t>111</w:t>
            </w:r>
          </w:p>
        </w:tc>
        <w:tc>
          <w:tcPr>
            <w:tcW w:type="dxa" w:w="2436"/>
          </w:tcPr>
          <w:p>
            <w:pPr>
              <w:jc w:val="center"/>
            </w:pPr>
            <w:r/>
            <w:r>
              <w:rPr>
                <w:sz w:val="18"/>
              </w:rPr>
              <w:t>30</w:t>
            </w:r>
          </w:p>
        </w:tc>
        <w:tc>
          <w:tcPr>
            <w:tcW w:type="dxa" w:w="2436"/>
          </w:tcPr>
          <w:p>
            <w:pPr>
              <w:jc w:val="center"/>
            </w:pPr>
            <w:r/>
            <w:r>
              <w:rPr>
                <w:sz w:val="18"/>
              </w:rPr>
              <w:t>23.4</w:t>
            </w:r>
          </w:p>
        </w:tc>
      </w:tr>
      <w:tr>
        <w:tc>
          <w:tcPr>
            <w:tcW w:type="dxa" w:w="2436"/>
          </w:tcPr>
          <w:p>
            <w:pPr>
              <w:jc w:val="center"/>
            </w:pPr>
            <w:r/>
            <w:r>
              <w:rPr>
                <w:sz w:val="18"/>
              </w:rPr>
              <w:t>Alta</w:t>
            </w:r>
          </w:p>
        </w:tc>
        <w:tc>
          <w:tcPr>
            <w:tcW w:type="dxa" w:w="2436"/>
          </w:tcPr>
          <w:p>
            <w:pPr>
              <w:jc w:val="center"/>
            </w:pPr>
            <w:r/>
            <w:r>
              <w:rPr>
                <w:sz w:val="18"/>
              </w:rPr>
              <w:t>117</w:t>
            </w:r>
          </w:p>
        </w:tc>
        <w:tc>
          <w:tcPr>
            <w:tcW w:type="dxa" w:w="2436"/>
          </w:tcPr>
          <w:p>
            <w:pPr>
              <w:jc w:val="center"/>
            </w:pPr>
            <w:r/>
            <w:r>
              <w:rPr>
                <w:sz w:val="18"/>
              </w:rPr>
              <w:t>96</w:t>
            </w:r>
          </w:p>
        </w:tc>
        <w:tc>
          <w:tcPr>
            <w:tcW w:type="dxa" w:w="2436"/>
          </w:tcPr>
          <w:p>
            <w:pPr>
              <w:jc w:val="center"/>
            </w:pPr>
            <w:r/>
            <w:r>
              <w:rPr>
                <w:sz w:val="18"/>
              </w:rPr>
              <w:t>75.0</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