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1- Dados los siguientes elementos, crea su representación en clases, incluyendo las propiedades y lo métodos que creas necesarias para calcular el área y el perímetro. Además crea las relaciones entre clases que consideres necesarias.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3448050" cy="866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Área del circulo: 3.14159 * (radio)^2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Perímetro del circulo: 2 * 3.14159 * radio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Área del rectángulo: lado1 * lado2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1"/>
            </w:numPr>
            <w:spacing w:after="0" w:afterAutospacing="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Perímetro del rectángulo: 2 * lado1 + 2 * lado2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Área del triángulo: (base * altura) / 2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line="240" w:lineRule="auto"/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Del triángulo no se querrá saber el perímetro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2- Vamos a crear las clases de una empresa que representen a los empleados y los cobros a final de mes.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 trabajador tiene los siguientes atributos: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Nombre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Apellidos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DNI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Cargo: indicará si tiene un cargo, mediante un texto como "jefe de equipo" o "mando intermedio", es posible que haya empleados sin cargo.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sueldo base de un empleado serán 1200 € al mes, pero cada tipo de empleado recibirá una prestación distinta. Existen 3 tipos de empleados: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Empleados de recursos humanos: reciben un sueldo fijo, sin importar el número de horas trabajadas.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Desarrolladores: contratados mediante una bolsa de horas, que reciben un sueldo base y, a mayores por horas trabajadas, sueldo por hora de 15 € y un pago por cada hora extra, fuera de su bolsa de horas, a 30€.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- Empleados de ventas: tienen un sueldo base de 1500 € y reciben una cantidad fija de 70 € por cada venta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 programa requerirá que a final de mes, se presente en una web simple, donde aparezca el nombre completo del empleado, su cargo y el sueldo que va a recibir ese mes.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 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jercicio herencia Electrodomésticos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Crearemos una clase padre llamada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Electrodomestico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con las siguientes características: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</w:tabs>
            <w:spacing w:after="0" w:before="0" w:line="276" w:lineRule="auto"/>
            <w:ind w:left="0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Sus atributos son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precio base, color, consumo energético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(letras entre A y F) y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peso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</w:tabs>
            <w:spacing w:after="0" w:before="0" w:line="276" w:lineRule="auto"/>
            <w:ind w:left="0" w:right="0" w:hanging="283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Por defecto, el color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blanco, el consumo energético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F, el precio base es de 100 € y el peso de 5 kg. 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</w:tabs>
            <w:spacing w:after="0" w:before="0" w:line="276" w:lineRule="auto"/>
            <w:ind w:left="0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comprobarConsumoEnergetico(letra)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comprueba que la letra es correcta, si no es correcta usará la letra por defecto.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</w:tabs>
            <w:spacing w:after="0" w:before="0" w:line="276" w:lineRule="auto"/>
            <w:ind w:left="0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comprobarColor(color)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comprueba que el color es correcto, si no lo es usa el color por defecto.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</w:tabs>
            <w:spacing w:after="0" w:before="0" w:line="276" w:lineRule="auto"/>
            <w:ind w:left="0" w:right="0" w:hanging="28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precioFinal()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según el consumo energético,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aumentará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su precio, y según su tamaño, también. Esta es la lista de precios:</w:t>
            <w:br w:type="textWrapping"/>
          </w:r>
          <w:bookmarkStart w:colFirst="0" w:colLast="0" w:name="bookmark=id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2035.0" w:type="dxa"/>
        <w:jc w:val="left"/>
        <w:tblInd w:w="0.0" w:type="dxa"/>
        <w:tblBorders>
          <w:top w:color="ffffff" w:space="0" w:sz="2" w:val="single"/>
          <w:left w:color="ffffff" w:space="0" w:sz="2" w:val="single"/>
          <w:bottom w:color="ffffff" w:space="0" w:sz="2" w:val="single"/>
          <w:right w:color="ffffff" w:space="0" w:sz="2" w:val="single"/>
          <w:insideH w:color="ffffff" w:space="0" w:sz="2" w:val="single"/>
          <w:insideV w:color="ffffff" w:space="0" w:sz="2" w:val="single"/>
        </w:tblBorders>
        <w:tblLayout w:type="fixed"/>
        <w:tblLook w:val="0000"/>
      </w:tblPr>
      <w:tblGrid>
        <w:gridCol w:w="954"/>
        <w:gridCol w:w="1081"/>
        <w:tblGridChange w:id="0">
          <w:tblGrid>
            <w:gridCol w:w="954"/>
            <w:gridCol w:w="108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ee" w:val="clear"/>
            <w:vAlign w:val="cente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LETRA</w:t>
                </w:r>
              </w:p>
            </w:sdtContent>
          </w:sdt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ee" w:val="clear"/>
            <w:vAlign w:val="cente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PRECIO</w:t>
                </w:r>
              </w:p>
            </w:sdtContent>
          </w:sdt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</w:t>
                </w:r>
              </w:p>
            </w:sdtContent>
          </w:sdt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100 €</w:t>
                </w:r>
              </w:p>
            </w:sdtContent>
          </w:sdt>
        </w:tc>
      </w:tr>
      <w:tr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80 €</w:t>
                </w:r>
              </w:p>
            </w:sdtContent>
          </w:sdt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60 €</w:t>
                </w:r>
              </w:p>
            </w:sdtContent>
          </w:sdt>
        </w:tc>
      </w:tr>
      <w:tr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</w:t>
                </w:r>
              </w:p>
            </w:sdtContent>
          </w:sdt>
        </w:tc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50 €</w:t>
                </w:r>
              </w:p>
            </w:sdtContent>
          </w:sdt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</w:t>
                </w:r>
              </w:p>
            </w:sdtContent>
          </w:sdt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30 €</w:t>
                </w:r>
              </w:p>
            </w:sdtContent>
          </w:sdt>
        </w:tc>
      </w:tr>
      <w:tr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</w:t>
                </w:r>
              </w:p>
            </w:sdtContent>
          </w:sdt>
        </w:tc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10 €</w:t>
                </w:r>
              </w:p>
            </w:sdtContent>
          </w:sdt>
        </w:tc>
      </w:tr>
    </w:tbl>
    <w:bookmarkStart w:colFirst="0" w:colLast="0" w:name="bookmark=id.30j0zll" w:id="1"/>
    <w:bookmarkEnd w:id="1"/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before="0" w:lineRule="auto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2845.0" w:type="dxa"/>
        <w:jc w:val="left"/>
        <w:tblInd w:w="0.0" w:type="dxa"/>
        <w:tblBorders>
          <w:top w:color="ffffff" w:space="0" w:sz="2" w:val="single"/>
          <w:left w:color="ffffff" w:space="0" w:sz="2" w:val="single"/>
          <w:bottom w:color="ffffff" w:space="0" w:sz="2" w:val="single"/>
          <w:right w:color="ffffff" w:space="0" w:sz="2" w:val="single"/>
          <w:insideH w:color="ffffff" w:space="0" w:sz="2" w:val="single"/>
          <w:insideV w:color="ffffff" w:space="0" w:sz="2" w:val="single"/>
        </w:tblBorders>
        <w:tblLayout w:type="fixed"/>
        <w:tblLook w:val="0000"/>
      </w:tblPr>
      <w:tblGrid>
        <w:gridCol w:w="1764"/>
        <w:gridCol w:w="1081"/>
        <w:tblGridChange w:id="0">
          <w:tblGrid>
            <w:gridCol w:w="1764"/>
            <w:gridCol w:w="1081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ee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TAMAÑO</w:t>
                </w:r>
              </w:p>
            </w:sdtContent>
          </w:sdt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e6eeee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1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PRECIO</w:t>
                </w:r>
              </w:p>
            </w:sdtContent>
          </w:sdt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 0 y 19 kg</w:t>
                </w:r>
              </w:p>
            </w:sdtContent>
          </w:sdt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10 €</w:t>
                </w:r>
              </w:p>
            </w:sdtContent>
          </w:sdt>
        </w:tc>
      </w:tr>
      <w:tr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 20 y 49 kg</w:t>
                </w:r>
              </w:p>
            </w:sdtContent>
          </w:sdt>
        </w:tc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50 €</w:t>
                </w:r>
              </w:p>
            </w:sdtContent>
          </w:sdt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Entre 50 y 79 kg</w:t>
                </w:r>
              </w:p>
            </w:sdtContent>
          </w:sdt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80 €</w:t>
                </w:r>
              </w:p>
            </w:sdtContent>
          </w:sdt>
        </w:tc>
      </w:tr>
      <w:tr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Mayor que 80 kg</w:t>
                </w:r>
              </w:p>
            </w:sdtContent>
          </w:sdt>
        </w:tc>
        <w:tc>
          <w:tcPr>
            <w:shd w:fill="f0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100 €</w:t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76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Crearemos una clase hija llamada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Lavadora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 las siguientes características: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 atributo es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carga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además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los atributos heredados. Por defecto, la carga es de 5 kg.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Los métodos que se implementara serán: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Método get de carga.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precioFinal()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si tiene una carga mayor de 30 kg,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aumentará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el precio 50 €, sino es así no se incrementara el precio. Llama al método padre y añade el código necesario. Recuerda que las condiciones que hemos visto en la clase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Electrodoméstico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también deben afectar al precio.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  <w:t xml:space="preserve">Crearemos una clase hija llamada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Television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 las siguientes características: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Sus atributos son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resolución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(en pulgadas) y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sintonizador TDT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(booleano).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Por defecto, la resolución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20 pulgadas y el sintonizador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será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false.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Los métodos que se implementara serán: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Método get de resolución y sintonizador TDT.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precioFinal()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si tiene una resolución mayor de 40 pulgadas, se incrementara el precio un 30% y si tiene un sintonizador TDT incorporado,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aumentará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50 €. Recuerda que las condiciones que hemos visto en la clase Electrodomestico también deben afectar al precio.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921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Muydestacado">
    <w:name w:val="Muy destacado"/>
    <w:qFormat w:val="1"/>
    <w:rPr>
      <w:b w:val="1"/>
      <w:bCs w:val="1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2F269B"/>
    <w:pPr>
      <w:spacing w:after="200" w:before="0"/>
      <w:ind w:left="720" w:hanging="0"/>
      <w:contextualSpacing w:val="1"/>
    </w:pPr>
    <w:rPr/>
  </w:style>
  <w:style w:type="paragraph" w:styleId="Contenidodelatabla">
    <w:name w:val="Contenido de la tabla"/>
    <w:basedOn w:val="Normal"/>
    <w:qFormat w:val="1"/>
    <w:pPr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59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59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IIb2fzbNRJAoDmDFBVUbuyK0w==">AMUW2mXgvASl5hnQS8QygLpgwaZ1pTbvDsSw/C0+zns27A78/grD6Xsqzse0jlseh3jgvWlMztvs0/WKapUVoVk3RJhzYoBuj/GEKVeelPGleUmNz2BKs6x8ZtWtgaOUWGY9vSoyFEsKDolnE3hSLsiRVQygTBE2JQ==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2018-06-04T12:22:00Z</dcterms:created>
  <dc:creator>Drummer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