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7A2032"/>
          <w:sz w:val="36"/>
        </w:rPr>
        <w:t>HireLink — Diagramme de cas d'utilisation (UML)</w:t>
      </w:r>
    </w:p>
    <w:p>
      <w:pPr>
        <w:jc w:val="center"/>
      </w:pPr>
      <w:r>
        <w:rPr>
          <w:rFonts w:ascii="Calibri" w:hAnsi="Calibri" w:eastAsia="Calibri"/>
          <w:b w:val="0"/>
          <w:color w:val="5A5A5A"/>
          <w:sz w:val="22"/>
        </w:rPr>
        <w:t>ENSA Tétouan · Module Frameworks Technologie Web · 2026-2027</w:t>
      </w:r>
    </w:p>
    <w:p>
      <w:pPr>
        <w:pStyle w:val="Heading1"/>
      </w:pPr>
      <w:r>
        <w:t>1. Objectif du diagramme</w:t>
      </w:r>
    </w:p>
    <w:p>
      <w:r>
        <w:t>Ce diagramme décrit les interactions entre les acteurs et le système HireLink (ATS bilatéral). Il respecte les conventions UML 2 : frontière système, cas d'utilisation (ovales), acteurs (stickmen), associations, et relations &lt;&lt;include&gt;&gt; lorsque le comportement est obligatoirement réutilisé.</w:t>
      </w:r>
    </w:p>
    <w:p>
      <w:pPr>
        <w:pStyle w:val="Heading1"/>
      </w:pPr>
      <w:r>
        <w:t>2. Organisation des acteurs</w:t>
      </w:r>
    </w:p>
    <w:p>
      <w:pPr>
        <w:pStyle w:val="ListBullet"/>
      </w:pPr>
      <w:r>
        <w:t>Acteurs principaux (à gauche) — initient les cas d'utilisation :</w:t>
      </w:r>
    </w:p>
    <w:p>
      <w:pPr>
        <w:pStyle w:val="ListBullet"/>
      </w:pPr>
      <w:r>
        <w:t>Candidat — postule, suit ses dossiers, exporte ses données.</w:t>
      </w:r>
    </w:p>
    <w:p>
      <w:pPr>
        <w:pStyle w:val="ListBullet"/>
      </w:pPr>
      <w:r>
        <w:t>Personne RH (Owner / Recruteur) — publie les offres, pilote le pipeline, invite l'équipe.</w:t>
      </w:r>
    </w:p>
    <w:p>
      <w:pPr>
        <w:pStyle w:val="ListBullet"/>
      </w:pPr>
      <w:r>
        <w:t>Hiring Manager — note les scorecards et mène les entretiens sur dossiers assignés.</w:t>
      </w:r>
    </w:p>
    <w:p>
      <w:pPr>
        <w:pStyle w:val="ListBullet"/>
      </w:pPr>
      <w:r>
        <w:t>Administrateur — vérifie les entreprises (ICE) et supervise la plateforme.</w:t>
      </w:r>
    </w:p>
    <w:p>
      <w:pPr>
        <w:pStyle w:val="ListBullet"/>
      </w:pPr>
      <w:r>
        <w:t>Acteurs secondaires / systèmes (à droite) — sollicités par HireLink :</w:t>
      </w:r>
    </w:p>
    <w:p>
      <w:pPr>
        <w:pStyle w:val="ListBullet"/>
      </w:pPr>
      <w:r>
        <w:t>Module matching local (F14) — calcul déterministe des scores (aucun crédit IA).</w:t>
      </w:r>
    </w:p>
    <w:p>
      <w:pPr>
        <w:pStyle w:val="ListBullet"/>
      </w:pPr>
      <w:r>
        <w:t>Fournisseur LLM (API externe F15) — rédaction assistée ; ne décide jamais.</w:t>
      </w:r>
    </w:p>
    <w:p>
      <w:pPr>
        <w:pStyle w:val="ListBullet"/>
      </w:pPr>
      <w:r>
        <w:t>Scheduler — calcule les retards SLA et déclenche les rappels.</w:t>
      </w:r>
    </w:p>
    <w:p>
      <w:pPr>
        <w:pStyle w:val="Heading1"/>
      </w:pPr>
      <w:r>
        <w:t>3. Diagramme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08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_utilisation_hireli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Cas d'utilisation (liste)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Cas d'utilisation</w:t>
            </w:r>
          </w:p>
        </w:tc>
        <w:tc>
          <w:tcPr>
            <w:tcW w:type="dxa" w:w="2880"/>
          </w:tcPr>
          <w:p>
            <w:r>
              <w:t>Acteurs</w:t>
            </w:r>
          </w:p>
        </w:tc>
      </w:tr>
      <w:tr>
        <w:tc>
          <w:tcPr>
            <w:tcW w:type="dxa" w:w="2880"/>
          </w:tcPr>
          <w:p>
            <w:r>
              <w:t>UC01</w:t>
            </w:r>
          </w:p>
        </w:tc>
        <w:tc>
          <w:tcPr>
            <w:tcW w:type="dxa" w:w="2880"/>
          </w:tcPr>
          <w:p>
            <w:r>
              <w:t>S'authentifier</w:t>
            </w:r>
          </w:p>
        </w:tc>
        <w:tc>
          <w:tcPr>
            <w:tcW w:type="dxa" w:w="2880"/>
          </w:tcPr>
          <w:p>
            <w:r>
              <w:t>Tous les acteurs principaux</w:t>
            </w:r>
          </w:p>
        </w:tc>
      </w:tr>
      <w:tr>
        <w:tc>
          <w:tcPr>
            <w:tcW w:type="dxa" w:w="2880"/>
          </w:tcPr>
          <w:p>
            <w:r>
              <w:t>UC02</w:t>
            </w:r>
          </w:p>
        </w:tc>
        <w:tc>
          <w:tcPr>
            <w:tcW w:type="dxa" w:w="2880"/>
          </w:tcPr>
          <w:p>
            <w:r>
              <w:t>Gérer profil / CV</w:t>
            </w:r>
          </w:p>
        </w:tc>
        <w:tc>
          <w:tcPr>
            <w:tcW w:type="dxa" w:w="2880"/>
          </w:tcPr>
          <w:p>
            <w:r>
              <w:t>Candidat</w:t>
            </w:r>
          </w:p>
        </w:tc>
      </w:tr>
      <w:tr>
        <w:tc>
          <w:tcPr>
            <w:tcW w:type="dxa" w:w="2880"/>
          </w:tcPr>
          <w:p>
            <w:r>
              <w:t>UC03</w:t>
            </w:r>
          </w:p>
        </w:tc>
        <w:tc>
          <w:tcPr>
            <w:tcW w:type="dxa" w:w="2880"/>
          </w:tcPr>
          <w:p>
            <w:r>
              <w:t>Consulter offres publiques</w:t>
            </w:r>
          </w:p>
        </w:tc>
        <w:tc>
          <w:tcPr>
            <w:tcW w:type="dxa" w:w="2880"/>
          </w:tcPr>
          <w:p>
            <w:r>
              <w:t>Candidat</w:t>
            </w:r>
          </w:p>
        </w:tc>
      </w:tr>
      <w:tr>
        <w:tc>
          <w:tcPr>
            <w:tcW w:type="dxa" w:w="2880"/>
          </w:tcPr>
          <w:p>
            <w:r>
              <w:t>UC04</w:t>
            </w:r>
          </w:p>
        </w:tc>
        <w:tc>
          <w:tcPr>
            <w:tcW w:type="dxa" w:w="2880"/>
          </w:tcPr>
          <w:p>
            <w:r>
              <w:t>Postuler (&lt;&lt;include&gt;&gt; matching)</w:t>
            </w:r>
          </w:p>
        </w:tc>
        <w:tc>
          <w:tcPr>
            <w:tcW w:type="dxa" w:w="2880"/>
          </w:tcPr>
          <w:p>
            <w:r>
              <w:t>Candidat, Matching local</w:t>
            </w:r>
          </w:p>
        </w:tc>
      </w:tr>
      <w:tr>
        <w:tc>
          <w:tcPr>
            <w:tcW w:type="dxa" w:w="2880"/>
          </w:tcPr>
          <w:p>
            <w:r>
              <w:t>UC05</w:t>
            </w:r>
          </w:p>
        </w:tc>
        <w:tc>
          <w:tcPr>
            <w:tcW w:type="dxa" w:w="2880"/>
          </w:tcPr>
          <w:p>
            <w:r>
              <w:t>Suivre candidatures + SLA</w:t>
            </w:r>
          </w:p>
        </w:tc>
        <w:tc>
          <w:tcPr>
            <w:tcW w:type="dxa" w:w="2880"/>
          </w:tcPr>
          <w:p>
            <w:r>
              <w:t>Candidat, Scheduler</w:t>
            </w:r>
          </w:p>
        </w:tc>
      </w:tr>
      <w:tr>
        <w:tc>
          <w:tcPr>
            <w:tcW w:type="dxa" w:w="2880"/>
          </w:tcPr>
          <w:p>
            <w:r>
              <w:t>UC06</w:t>
            </w:r>
          </w:p>
        </w:tc>
        <w:tc>
          <w:tcPr>
            <w:tcW w:type="dxa" w:w="2880"/>
          </w:tcPr>
          <w:p>
            <w:r>
              <w:t>Retirer candidature</w:t>
            </w:r>
          </w:p>
        </w:tc>
        <w:tc>
          <w:tcPr>
            <w:tcW w:type="dxa" w:w="2880"/>
          </w:tcPr>
          <w:p>
            <w:r>
              <w:t>Candidat</w:t>
            </w:r>
          </w:p>
        </w:tc>
      </w:tr>
      <w:tr>
        <w:tc>
          <w:tcPr>
            <w:tcW w:type="dxa" w:w="2880"/>
          </w:tcPr>
          <w:p>
            <w:r>
              <w:t>UC07</w:t>
            </w:r>
          </w:p>
        </w:tc>
        <w:tc>
          <w:tcPr>
            <w:tcW w:type="dxa" w:w="2880"/>
          </w:tcPr>
          <w:p>
            <w:r>
              <w:t>Créer / publier offre + SLA</w:t>
            </w:r>
          </w:p>
        </w:tc>
        <w:tc>
          <w:tcPr>
            <w:tcW w:type="dxa" w:w="2880"/>
          </w:tcPr>
          <w:p>
            <w:r>
              <w:t>Personne RH</w:t>
            </w:r>
          </w:p>
        </w:tc>
      </w:tr>
      <w:tr>
        <w:tc>
          <w:tcPr>
            <w:tcW w:type="dxa" w:w="2880"/>
          </w:tcPr>
          <w:p>
            <w:r>
              <w:t>UC08</w:t>
            </w:r>
          </w:p>
        </w:tc>
        <w:tc>
          <w:tcPr>
            <w:tcW w:type="dxa" w:w="2880"/>
          </w:tcPr>
          <w:p>
            <w:r>
              <w:t>Piloter pipeline / refuser (catalogue)</w:t>
            </w:r>
          </w:p>
        </w:tc>
        <w:tc>
          <w:tcPr>
            <w:tcW w:type="dxa" w:w="2880"/>
          </w:tcPr>
          <w:p>
            <w:r>
              <w:t>Personne RH</w:t>
            </w:r>
          </w:p>
        </w:tc>
      </w:tr>
      <w:tr>
        <w:tc>
          <w:tcPr>
            <w:tcW w:type="dxa" w:w="2880"/>
          </w:tcPr>
          <w:p>
            <w:r>
              <w:t>UC09</w:t>
            </w:r>
          </w:p>
        </w:tc>
        <w:tc>
          <w:tcPr>
            <w:tcW w:type="dxa" w:w="2880"/>
          </w:tcPr>
          <w:p>
            <w:r>
              <w:t>Planifier entretien</w:t>
            </w:r>
          </w:p>
        </w:tc>
        <w:tc>
          <w:tcPr>
            <w:tcW w:type="dxa" w:w="2880"/>
          </w:tcPr>
          <w:p>
            <w:r>
              <w:t>Personne RH, Hiring Manager</w:t>
            </w:r>
          </w:p>
        </w:tc>
      </w:tr>
      <w:tr>
        <w:tc>
          <w:tcPr>
            <w:tcW w:type="dxa" w:w="2880"/>
          </w:tcPr>
          <w:p>
            <w:r>
              <w:t>UC10</w:t>
            </w:r>
          </w:p>
        </w:tc>
        <w:tc>
          <w:tcPr>
            <w:tcW w:type="dxa" w:w="2880"/>
          </w:tcPr>
          <w:p>
            <w:r>
              <w:t>Noter scorecard</w:t>
            </w:r>
          </w:p>
        </w:tc>
        <w:tc>
          <w:tcPr>
            <w:tcW w:type="dxa" w:w="2880"/>
          </w:tcPr>
          <w:p>
            <w:r>
              <w:t>Hiring Manager, Personne RH</w:t>
            </w:r>
          </w:p>
        </w:tc>
      </w:tr>
      <w:tr>
        <w:tc>
          <w:tcPr>
            <w:tcW w:type="dxa" w:w="2880"/>
          </w:tcPr>
          <w:p>
            <w:r>
              <w:t>UC11</w:t>
            </w:r>
          </w:p>
        </w:tc>
        <w:tc>
          <w:tcPr>
            <w:tcW w:type="dxa" w:w="2880"/>
          </w:tcPr>
          <w:p>
            <w:r>
              <w:t>Inviter membres organisation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UC12</w:t>
            </w:r>
          </w:p>
        </w:tc>
        <w:tc>
          <w:tcPr>
            <w:tcW w:type="dxa" w:w="2880"/>
          </w:tcPr>
          <w:p>
            <w:r>
              <w:t>Assistance IA (crédits)</w:t>
            </w:r>
          </w:p>
        </w:tc>
        <w:tc>
          <w:tcPr>
            <w:tcW w:type="dxa" w:w="2880"/>
          </w:tcPr>
          <w:p>
            <w:r>
              <w:t>Candidat, Personne RH, LLM</w:t>
            </w:r>
          </w:p>
        </w:tc>
      </w:tr>
      <w:tr>
        <w:tc>
          <w:tcPr>
            <w:tcW w:type="dxa" w:w="2880"/>
          </w:tcPr>
          <w:p>
            <w:r>
              <w:t>UC13</w:t>
            </w:r>
          </w:p>
        </w:tc>
        <w:tc>
          <w:tcPr>
            <w:tcW w:type="dxa" w:w="2880"/>
          </w:tcPr>
          <w:p>
            <w:r>
              <w:t>Vérifier entreprise (ICE)</w:t>
            </w:r>
          </w:p>
        </w:tc>
        <w:tc>
          <w:tcPr>
            <w:tcW w:type="dxa" w:w="2880"/>
          </w:tcPr>
          <w:p>
            <w:r>
              <w:t>Administrateur</w:t>
            </w:r>
          </w:p>
        </w:tc>
      </w:tr>
      <w:tr>
        <w:tc>
          <w:tcPr>
            <w:tcW w:type="dxa" w:w="2880"/>
          </w:tcPr>
          <w:p>
            <w:r>
              <w:t>UC14</w:t>
            </w:r>
          </w:p>
        </w:tc>
        <w:tc>
          <w:tcPr>
            <w:tcW w:type="dxa" w:w="2880"/>
          </w:tcPr>
          <w:p>
            <w:r>
              <w:t>Exporter données personnelles</w:t>
            </w:r>
          </w:p>
        </w:tc>
        <w:tc>
          <w:tcPr>
            <w:tcW w:type="dxa" w:w="2880"/>
          </w:tcPr>
          <w:p>
            <w:r>
              <w:t>Candidat</w:t>
            </w:r>
          </w:p>
        </w:tc>
      </w:tr>
      <w:tr>
        <w:tc>
          <w:tcPr>
            <w:tcW w:type="dxa" w:w="2880"/>
          </w:tcPr>
          <w:p>
            <w:r>
              <w:t>UC15</w:t>
            </w:r>
          </w:p>
        </w:tc>
        <w:tc>
          <w:tcPr>
            <w:tcW w:type="dxa" w:w="2880"/>
          </w:tcPr>
          <w:p>
            <w:r>
              <w:t>Administrer la plateforme</w:t>
            </w:r>
          </w:p>
        </w:tc>
        <w:tc>
          <w:tcPr>
            <w:tcW w:type="dxa" w:w="2880"/>
          </w:tcPr>
          <w:p>
            <w:r>
              <w:t>Administrateur</w:t>
            </w:r>
          </w:p>
        </w:tc>
      </w:tr>
    </w:tbl>
    <w:p>
      <w:pPr>
        <w:pStyle w:val="Heading1"/>
      </w:pPr>
      <w:r>
        <w:t>5. Règles UML respectées</w:t>
      </w:r>
    </w:p>
    <w:p>
      <w:pPr>
        <w:pStyle w:val="ListBullet"/>
      </w:pPr>
      <w:r>
        <w:t>Un seul système borné (HireLink) — les acteurs restent hors frontière.</w:t>
      </w:r>
    </w:p>
    <w:p>
      <w:pPr>
        <w:pStyle w:val="ListBullet"/>
      </w:pPr>
      <w:r>
        <w:t>Acteurs principaux à gauche, secondaires à droite (lisibilité pédagogique).</w:t>
      </w:r>
    </w:p>
    <w:p>
      <w:pPr>
        <w:pStyle w:val="ListBullet"/>
      </w:pPr>
      <w:r>
        <w:t>Noms de cas d'utilisation = verbe à l'infinitif + complément.</w:t>
      </w:r>
    </w:p>
    <w:p>
      <w:pPr>
        <w:pStyle w:val="ListBullet"/>
      </w:pPr>
      <w:r>
        <w:t>Pas de flux détaillés ici (réservés aux diagrammes de séquence).</w:t>
      </w:r>
    </w:p>
    <w:p>
      <w:pPr>
        <w:pStyle w:val="ListBullet"/>
      </w:pPr>
      <w:r>
        <w:t>&lt;&lt;include&gt;&gt; : le matching local est toujours exécuté lors d'une candidature.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