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7A2032"/>
          <w:sz w:val="36"/>
        </w:rPr>
        <w:t>HireLink — Diagramme de cas d'utilisation (UML)</w:t>
      </w:r>
    </w:p>
    <w:p>
      <w:pPr>
        <w:jc w:val="center"/>
      </w:pPr>
      <w:r>
        <w:rPr>
          <w:rFonts w:ascii="Calibri" w:hAnsi="Calibri" w:eastAsia="Calibri"/>
          <w:b w:val="0"/>
          <w:color w:val="5A5A5A"/>
          <w:sz w:val="22"/>
        </w:rPr>
        <w:t>ENSA Tétouan · Module Frameworks Technologie Web · 2026-2027</w:t>
      </w:r>
    </w:p>
    <w:p>
      <w:pPr>
        <w:pStyle w:val="Heading1"/>
      </w:pPr>
      <w:r>
        <w:t>1. Acteurs</w:t>
      </w:r>
    </w:p>
    <w:p>
      <w:pPr>
        <w:pStyle w:val="Heading2"/>
      </w:pPr>
      <w:r>
        <w:t>1.1 Acteurs principaux</w:t>
      </w:r>
    </w:p>
    <w:p>
      <w:r>
        <w:t>Acteurs humains qui déclenchent le système.</w:t>
      </w:r>
    </w:p>
    <w:p>
      <w:pPr>
        <w:pStyle w:val="ListBullet"/>
      </w:pPr>
      <w:r>
        <w:t>Candidat — profil, candidatures, suivi SLA, IA, export, paiement.</w:t>
      </w:r>
    </w:p>
    <w:p>
      <w:pPr>
        <w:pStyle w:val="ListBullet"/>
      </w:pPr>
      <w:r>
        <w:t>Personne RH (Owner / Recruteur) — offres, pipeline, équipe, entretiens, IA, paiement.</w:t>
      </w:r>
    </w:p>
    <w:p>
      <w:pPr>
        <w:pStyle w:val="Heading2"/>
      </w:pPr>
      <w:r>
        <w:t>1.2 Acteurs secondaires (humains)</w:t>
      </w:r>
    </w:p>
    <w:p>
      <w:pPr>
        <w:pStyle w:val="ListBullet"/>
      </w:pPr>
      <w:r>
        <w:t>Hiring Manager — scorecard et entretiens sur dossiers assignés.</w:t>
      </w:r>
    </w:p>
    <w:p>
      <w:pPr>
        <w:pStyle w:val="ListBullet"/>
      </w:pPr>
      <w:r>
        <w:t>Administrateur de l'application HireLink — vérification ICE et supervision plateforme.</w:t>
      </w:r>
    </w:p>
    <w:p>
      <w:pPr>
        <w:pStyle w:val="Heading2"/>
      </w:pPr>
      <w:r>
        <w:t>1.3 Acteurs systèmes (rectangles UML)</w:t>
      </w:r>
    </w:p>
    <w:p>
      <w:pPr>
        <w:pStyle w:val="ListBullet"/>
      </w:pPr>
      <w:r>
        <w:t>Matching local — calcul du score de compétences (F14).</w:t>
      </w:r>
    </w:p>
    <w:p>
      <w:pPr>
        <w:pStyle w:val="ListBullet"/>
      </w:pPr>
      <w:r>
        <w:t>Fournisseur LLM — assistance IA (F15).</w:t>
      </w:r>
    </w:p>
    <w:p>
      <w:pPr>
        <w:pStyle w:val="ListBullet"/>
      </w:pPr>
      <w:r>
        <w:t>Messagerie / e-mail — OTP et notifications.</w:t>
      </w:r>
    </w:p>
    <w:p>
      <w:pPr>
        <w:pStyle w:val="ListBullet"/>
      </w:pPr>
      <w:r>
        <w:t>Paiement / facturation — Premium et crédits IA.</w:t>
      </w:r>
    </w:p>
    <w:p>
      <w:pPr>
        <w:pStyle w:val="ListBullet"/>
      </w:pPr>
      <w:r>
        <w:t>Scheduler SLA — rappels et détection des retards.</w:t>
      </w:r>
    </w:p>
    <w:p>
      <w:pPr>
        <w:pStyle w:val="ListBullet"/>
      </w:pPr>
      <w:r>
        <w:t>Identité Google — authentification OAuth.</w:t>
      </w:r>
    </w:p>
    <w:p>
      <w:pPr>
        <w:pStyle w:val="Heading1"/>
      </w:pPr>
      <w:r>
        <w:t>2. Diagramme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251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_utilisation_hirel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1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Relations &lt;&lt;include&gt;&gt; et &lt;&lt;extend&gt;&gt;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Relation</w:t>
            </w:r>
          </w:p>
        </w:tc>
        <w:tc>
          <w:tcPr>
            <w:tcW w:type="dxa" w:w="2880"/>
          </w:tcPr>
          <w:p>
            <w:r>
              <w:t>De → Vers</w:t>
            </w:r>
          </w:p>
        </w:tc>
        <w:tc>
          <w:tcPr>
            <w:tcW w:type="dxa" w:w="2880"/>
          </w:tcPr>
          <w:p>
            <w:r>
              <w:t>Sens</w:t>
            </w:r>
          </w:p>
        </w:tc>
      </w:tr>
      <w:tr>
        <w:tc>
          <w:tcPr>
            <w:tcW w:type="dxa" w:w="2880"/>
          </w:tcPr>
          <w:p>
            <w:r>
              <w:t>&lt;&lt;include&gt;&gt;</w:t>
            </w:r>
          </w:p>
        </w:tc>
        <w:tc>
          <w:tcPr>
            <w:tcW w:type="dxa" w:w="2880"/>
          </w:tcPr>
          <w:p>
            <w:r>
              <w:t>Postuler → Calculer le matching local</w:t>
            </w:r>
          </w:p>
        </w:tc>
        <w:tc>
          <w:tcPr>
            <w:tcW w:type="dxa" w:w="2880"/>
          </w:tcPr>
          <w:p>
            <w:r>
              <w:t>Toujours à la candidature</w:t>
            </w:r>
          </w:p>
        </w:tc>
      </w:tr>
      <w:tr>
        <w:tc>
          <w:tcPr>
            <w:tcW w:type="dxa" w:w="2880"/>
          </w:tcPr>
          <w:p>
            <w:r>
              <w:t>&lt;&lt;include&gt;&gt;</w:t>
            </w:r>
          </w:p>
        </w:tc>
        <w:tc>
          <w:tcPr>
            <w:tcW w:type="dxa" w:w="2880"/>
          </w:tcPr>
          <w:p>
            <w:r>
              <w:t>Créer / publier une offre → Définir le SLA</w:t>
            </w:r>
          </w:p>
        </w:tc>
        <w:tc>
          <w:tcPr>
            <w:tcW w:type="dxa" w:w="2880"/>
          </w:tcPr>
          <w:p>
            <w:r>
              <w:t>Toute offre engage un délai</w:t>
            </w:r>
          </w:p>
        </w:tc>
      </w:tr>
      <w:tr>
        <w:tc>
          <w:tcPr>
            <w:tcW w:type="dxa" w:w="2880"/>
          </w:tcPr>
          <w:p>
            <w:r>
              <w:t>&lt;&lt;include&gt;&gt;</w:t>
            </w:r>
          </w:p>
        </w:tc>
        <w:tc>
          <w:tcPr>
            <w:tcW w:type="dxa" w:w="2880"/>
          </w:tcPr>
          <w:p>
            <w:r>
              <w:t>Utiliser l'assistance IA → Débiter un crédit IA</w:t>
            </w:r>
          </w:p>
        </w:tc>
        <w:tc>
          <w:tcPr>
            <w:tcW w:type="dxa" w:w="2880"/>
          </w:tcPr>
          <w:p>
            <w:r>
              <w:t>Débit après succès (R16)</w:t>
            </w:r>
          </w:p>
        </w:tc>
      </w:tr>
      <w:tr>
        <w:tc>
          <w:tcPr>
            <w:tcW w:type="dxa" w:w="2880"/>
          </w:tcPr>
          <w:p>
            <w:r>
              <w:t>&lt;&lt;include&gt;&gt;</w:t>
            </w:r>
          </w:p>
        </w:tc>
        <w:tc>
          <w:tcPr>
            <w:tcW w:type="dxa" w:w="2880"/>
          </w:tcPr>
          <w:p>
            <w:r>
              <w:t>Postuler / Suivre / Avancer → Notifier</w:t>
            </w:r>
          </w:p>
        </w:tc>
        <w:tc>
          <w:tcPr>
            <w:tcW w:type="dxa" w:w="2880"/>
          </w:tcPr>
          <w:p>
            <w:r>
              <w:t>Information des parties</w:t>
            </w:r>
          </w:p>
        </w:tc>
      </w:tr>
      <w:tr>
        <w:tc>
          <w:tcPr>
            <w:tcW w:type="dxa" w:w="2880"/>
          </w:tcPr>
          <w:p>
            <w:r>
              <w:t>&lt;&lt;extend&gt;&gt;</w:t>
            </w:r>
          </w:p>
        </w:tc>
        <w:tc>
          <w:tcPr>
            <w:tcW w:type="dxa" w:w="2880"/>
          </w:tcPr>
          <w:p>
            <w:r>
              <w:t>Motiver un refus → Avancer une candidature</w:t>
            </w:r>
          </w:p>
        </w:tc>
        <w:tc>
          <w:tcPr>
            <w:tcW w:type="dxa" w:w="2880"/>
          </w:tcPr>
          <w:p>
            <w:r>
              <w:t>Si décision = rejet</w:t>
            </w:r>
          </w:p>
        </w:tc>
      </w:tr>
      <w:tr>
        <w:tc>
          <w:tcPr>
            <w:tcW w:type="dxa" w:w="2880"/>
          </w:tcPr>
          <w:p>
            <w:r>
              <w:t>&lt;&lt;extend&gt;&gt;</w:t>
            </w:r>
          </w:p>
        </w:tc>
        <w:tc>
          <w:tcPr>
            <w:tcW w:type="dxa" w:w="2880"/>
          </w:tcPr>
          <w:p>
            <w:r>
              <w:t>Auth. via Google → S'authentifier</w:t>
            </w:r>
          </w:p>
        </w:tc>
        <w:tc>
          <w:tcPr>
            <w:tcW w:type="dxa" w:w="2880"/>
          </w:tcPr>
          <w:p>
            <w:r>
              <w:t>Voie d'auth. optionnelle</w:t>
            </w:r>
          </w:p>
        </w:tc>
      </w:tr>
      <w:tr>
        <w:tc>
          <w:tcPr>
            <w:tcW w:type="dxa" w:w="2880"/>
          </w:tcPr>
          <w:p>
            <w:r>
              <w:t>&lt;&lt;extend&gt;&gt;</w:t>
            </w:r>
          </w:p>
        </w:tc>
        <w:tc>
          <w:tcPr>
            <w:tcW w:type="dxa" w:w="2880"/>
          </w:tcPr>
          <w:p>
            <w:r>
              <w:t>Gérer paiement / abonnement → Utiliser l'assistance IA</w:t>
            </w:r>
          </w:p>
        </w:tc>
        <w:tc>
          <w:tcPr>
            <w:tcW w:type="dxa" w:w="2880"/>
          </w:tcPr>
          <w:p>
            <w:r>
              <w:t>Passage Premium / crédits</w:t>
            </w:r>
          </w:p>
        </w:tc>
      </w:tr>
    </w:tbl>
    <w:p>
      <w:pPr>
        <w:pStyle w:val="Heading1"/>
      </w:pPr>
      <w:r>
        <w:t>4. Conventions UML</w:t>
      </w:r>
    </w:p>
    <w:p>
      <w:pPr>
        <w:pStyle w:val="ListBullet"/>
      </w:pPr>
      <w:r>
        <w:t>Titre « HireLink » centré dans la frontière système.</w:t>
      </w:r>
    </w:p>
    <w:p>
      <w:pPr>
        <w:pStyle w:val="ListBullet"/>
      </w:pPr>
      <w:r>
        <w:t>Humains = stickmen ; systèmes externes = rectangles stéréotypés « système ».</w:t>
      </w:r>
    </w:p>
    <w:p>
      <w:pPr>
        <w:pStyle w:val="ListBullet"/>
      </w:pPr>
      <w:r>
        <w:t>Cas d'utilisation = verbe à l'infinitif.</w:t>
      </w:r>
    </w:p>
    <w:p>
      <w:pPr>
        <w:pStyle w:val="ListBullet"/>
      </w:pPr>
      <w:r>
        <w:t>&lt;&lt;include&gt;&gt; = inclusion obligatoire ; &lt;&lt;extend&gt;&gt; = extension optionnelle.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