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A5C"/>
          <w:sz w:val="40"/>
        </w:rPr>
        <w:t>SCRIPT ORAL — SOUTENANCE LexHub</w:t>
      </w:r>
    </w:p>
    <w:p>
      <w:pPr>
        <w:jc w:val="center"/>
      </w:pPr>
      <w:r>
        <w:rPr>
          <w:rFonts w:ascii="Calibri" w:hAnsi="Calibri" w:eastAsia="Calibri"/>
          <w:b w:val="0"/>
          <w:color w:val="C4A35A"/>
          <w:sz w:val="24"/>
        </w:rPr>
        <w:t>PPT · Ce que tu dis · Annexe détails · Questions jury</w:t>
      </w:r>
    </w:p>
    <w:p>
      <w:pPr>
        <w:spacing w:after="120" w:before="0"/>
      </w:pPr>
      <w:r>
        <w:rPr>
          <w:rFonts w:ascii="Calibri" w:hAnsi="Calibri" w:eastAsia="Calibri"/>
          <w:b w:val="0"/>
          <w:i w:val="0"/>
          <w:sz w:val="20"/>
        </w:rPr>
        <w:t>Douae El Assal — ENSA Tétouan — PFA WEBVOICE — https://lexhub.space</w:t>
        <w:br/>
        <w:t>Durée orale cible : 10–12 min (+ démo 2–3 min + questions).</w:t>
      </w:r>
    </w:p>
    <w:p>
      <w:pPr>
        <w:spacing w:after="200"/>
      </w:pPr>
      <w:r>
        <w:rPr>
          <w:rFonts w:ascii="Calibri" w:hAnsi="Calibri" w:eastAsia="Calibri"/>
          <w:b w:val="0"/>
          <w:i/>
          <w:color w:val="666666"/>
          <w:sz w:val="20"/>
        </w:rPr>
        <w:t>Comment utiliser : lis à voix haute 1–2 fois. Tu n’apprends pas par cœur — tu suis le fil. Les blocs « À dire » sont prêts à être lus.</w:t>
      </w:r>
    </w:p>
    <w:p>
      <w:pPr>
        <w:pStyle w:val="Heading1"/>
      </w:pPr>
      <w:r>
        <w:rPr>
          <w:rFonts w:ascii="Calibri" w:hAnsi="Calibri" w:eastAsia="Calibri"/>
          <w:b/>
          <w:color w:val="1A3A5C"/>
          <w:sz w:val="32"/>
        </w:rPr>
        <w:t>PARTIE A — Script oral slide par slide</w:t>
      </w:r>
    </w:p>
    <w:p>
      <w:pPr>
        <w:pStyle w:val="Heading2"/>
      </w:pPr>
      <w:r>
        <w:rPr>
          <w:rFonts w:ascii="Calibri" w:hAnsi="Calibri" w:eastAsia="Calibri"/>
          <w:b/>
          <w:color w:val="1A3A5C"/>
          <w:sz w:val="26"/>
        </w:rPr>
        <w:t>Slide 1 — Couverture</w:t>
      </w:r>
    </w:p>
    <w:p>
      <w:pPr>
        <w:spacing w:after="200"/>
      </w:pPr>
      <w:r>
        <w:rPr>
          <w:rFonts w:ascii="Calibri" w:hAnsi="Calibri" w:eastAsia="Calibri"/>
          <w:b w:val="0"/>
          <w:i/>
          <w:color w:val="666666"/>
          <w:sz w:val="20"/>
        </w:rPr>
        <w:t>Durée indicative : 20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Bonjour. Je m’appelle Douae El Assal, étudiante à l’ENSA Tétouan. Mon Projet de Fin d’Année a été réalisé chez WEBVOICE, à Tanger. Encadrant entreprise : Monsieur Hatim Benhaddou. Tuteur pédagogique : Professeur Mohammed Al Achhab. Le produit livré s’appelle LexHub, et il est en production sur lexhub.space.</w:t>
      </w:r>
    </w:p>
    <w:p>
      <w:pPr>
        <w:pBdr>
          <w:bottom w:val="single" w:sz="6" w:space="1" w:color="C4A35A"/>
        </w:pBdr>
      </w:pPr>
    </w:p>
    <w:p>
      <w:pPr>
        <w:pStyle w:val="Heading2"/>
      </w:pPr>
      <w:r>
        <w:rPr>
          <w:rFonts w:ascii="Calibri" w:hAnsi="Calibri" w:eastAsia="Calibri"/>
          <w:b/>
          <w:color w:val="1A3A5C"/>
          <w:sz w:val="26"/>
        </w:rPr>
        <w:t>Slide 2 — Plan</w:t>
      </w:r>
    </w:p>
    <w:p>
      <w:pPr>
        <w:spacing w:after="200"/>
      </w:pPr>
      <w:r>
        <w:rPr>
          <w:rFonts w:ascii="Calibri" w:hAnsi="Calibri" w:eastAsia="Calibri"/>
          <w:b w:val="0"/>
          <w:i/>
          <w:color w:val="666666"/>
          <w:sz w:val="20"/>
        </w:rPr>
        <w:t>Durée indicative : 15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Je vais présenter le problème et le marché, les fonctionnalités — surtout l’atelier de plaidoirie —, la conception technique, la rentabilisation, puis le bilan et la démonstration.</w:t>
      </w:r>
    </w:p>
    <w:p>
      <w:pPr>
        <w:pBdr>
          <w:bottom w:val="single" w:sz="6" w:space="1" w:color="C4A35A"/>
        </w:pBdr>
      </w:pPr>
    </w:p>
    <w:p>
      <w:pPr>
        <w:pStyle w:val="Heading2"/>
      </w:pPr>
      <w:r>
        <w:rPr>
          <w:rFonts w:ascii="Calibri" w:hAnsi="Calibri" w:eastAsia="Calibri"/>
          <w:b/>
          <w:color w:val="1A3A5C"/>
          <w:sz w:val="26"/>
        </w:rPr>
        <w:t>Slide 3 — Problème / contexte</w:t>
      </w:r>
    </w:p>
    <w:p>
      <w:pPr>
        <w:spacing w:after="200"/>
      </w:pPr>
      <w:r>
        <w:rPr>
          <w:rFonts w:ascii="Calibri" w:hAnsi="Calibri" w:eastAsia="Calibri"/>
          <w:b w:val="0"/>
          <w:i/>
          <w:color w:val="666666"/>
          <w:sz w:val="20"/>
        </w:rPr>
        <w:t>Durée indicative : 45–60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Le problème de départ est concret : pour préparer une plaidoirie, beaucoup d’avocats dictent, un collaborateur retape, puis on met en page Word juste avant l’audience. C’est lent, peu traçable, et le secret professionnel est une contrainte forte. LexHub répond par un SaaS multi-cabinets : atelier en cinq étapes, rôles clairs, et une IA qui assiste sans inventer des faits.</w:t>
      </w:r>
    </w:p>
    <w:p>
      <w:pPr>
        <w:pBdr>
          <w:bottom w:val="single" w:sz="6" w:space="1" w:color="C4A35A"/>
        </w:pBdr>
      </w:pPr>
    </w:p>
    <w:p>
      <w:pPr>
        <w:pStyle w:val="Heading2"/>
      </w:pPr>
      <w:r>
        <w:rPr>
          <w:rFonts w:ascii="Calibri" w:hAnsi="Calibri" w:eastAsia="Calibri"/>
          <w:b/>
          <w:color w:val="1A3A5C"/>
          <w:sz w:val="26"/>
        </w:rPr>
        <w:t>Slide 4 — Marché / positionnement</w:t>
      </w:r>
    </w:p>
    <w:p>
      <w:pPr>
        <w:spacing w:after="200"/>
      </w:pPr>
      <w:r>
        <w:rPr>
          <w:rFonts w:ascii="Calibri" w:hAnsi="Calibri" w:eastAsia="Calibri"/>
          <w:b w:val="0"/>
          <w:i/>
          <w:color w:val="666666"/>
          <w:sz w:val="20"/>
        </w:rPr>
        <w:t>Durée indicative : 40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Les outils de gestion cabinet gèrent dossiers et agenda, mais sans atelier voix vers plaidoirie. Les outils d’IA juridique font surtout de la recherche ou du Q&amp;A, sans SaaS multi-rôles cabinet. LexHub se place au croisement : atelier guidé plus équipe plus abonnement.</w:t>
      </w:r>
    </w:p>
    <w:p>
      <w:pPr>
        <w:spacing w:after="200"/>
      </w:pPr>
      <w:r>
        <w:rPr>
          <w:rFonts w:ascii="Calibri" w:hAnsi="Calibri" w:eastAsia="Calibri"/>
          <w:b w:val="0"/>
          <w:i/>
          <w:color w:val="666666"/>
          <w:sz w:val="20"/>
        </w:rPr>
        <w:t>Astuce : Ne cite pas « sur mesure / devis » comme offre principale.</w:t>
      </w:r>
    </w:p>
    <w:p>
      <w:pPr>
        <w:pBdr>
          <w:bottom w:val="single" w:sz="6" w:space="1" w:color="C4A35A"/>
        </w:pBdr>
      </w:pPr>
    </w:p>
    <w:p>
      <w:pPr>
        <w:pStyle w:val="Heading2"/>
      </w:pPr>
      <w:r>
        <w:rPr>
          <w:rFonts w:ascii="Calibri" w:hAnsi="Calibri" w:eastAsia="Calibri"/>
          <w:b/>
          <w:color w:val="1A3A5C"/>
          <w:sz w:val="26"/>
        </w:rPr>
        <w:t>Slide 5 — Objectifs</w:t>
      </w:r>
    </w:p>
    <w:p>
      <w:pPr>
        <w:spacing w:after="200"/>
      </w:pPr>
      <w:r>
        <w:rPr>
          <w:rFonts w:ascii="Calibri" w:hAnsi="Calibri" w:eastAsia="Calibri"/>
          <w:b w:val="0"/>
          <w:i/>
          <w:color w:val="666666"/>
          <w:sz w:val="20"/>
        </w:rPr>
        <w:t>Durée indicative : 35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Objectifs du PFA : livrer un atelier jusqu’au Word, un espace cabinet multi-rôles, la règle « seul le validé est visible de l’assistant », et un modèle d’abonnement opérationnel. Règle d’ingénierie : PostgreSQL est la vérité métier ; le LLM propose ; l’avocat reste responsable.</w:t>
      </w:r>
    </w:p>
    <w:p>
      <w:pPr>
        <w:pBdr>
          <w:bottom w:val="single" w:sz="6" w:space="1" w:color="C4A35A"/>
        </w:pBdr>
      </w:pPr>
    </w:p>
    <w:p>
      <w:pPr>
        <w:pStyle w:val="Heading2"/>
      </w:pPr>
      <w:r>
        <w:rPr>
          <w:rFonts w:ascii="Calibri" w:hAnsi="Calibri" w:eastAsia="Calibri"/>
          <w:b/>
          <w:color w:val="1A3A5C"/>
          <w:sz w:val="26"/>
        </w:rPr>
        <w:t>Slide 6 — Rôles / RBAC</w:t>
      </w:r>
    </w:p>
    <w:p>
      <w:pPr>
        <w:spacing w:after="200"/>
      </w:pPr>
      <w:r>
        <w:rPr>
          <w:rFonts w:ascii="Calibri" w:hAnsi="Calibri" w:eastAsia="Calibri"/>
          <w:b w:val="0"/>
          <w:i/>
          <w:color w:val="666666"/>
          <w:sz w:val="20"/>
        </w:rPr>
        <w:t>Durée indicative : 40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Quatre rôles. L’avocat dicte, rédige, valide, exporte. L’admin cabinet fait la même chose et gère aussi l’équipe et l’abonnement. L’assistant ne voit que les plaidoiries validées. L’admin plateforme — WebVoice — supervise cabinets et plans, sans lire le contenu des dossiers. Le cabinet n’est pas un acteur UML : c’est le locataire, le périmètre isolé par cabinet_id.</w:t>
      </w:r>
    </w:p>
    <w:p>
      <w:pPr>
        <w:pBdr>
          <w:bottom w:val="single" w:sz="6" w:space="1" w:color="C4A35A"/>
        </w:pBdr>
      </w:pPr>
    </w:p>
    <w:p>
      <w:pPr>
        <w:pStyle w:val="Heading2"/>
      </w:pPr>
      <w:r>
        <w:rPr>
          <w:rFonts w:ascii="Calibri" w:hAnsi="Calibri" w:eastAsia="Calibri"/>
          <w:b/>
          <w:color w:val="1A3A5C"/>
          <w:sz w:val="26"/>
        </w:rPr>
        <w:t>Slide 7 — Pilotage cabinet / plateforme (si présente)</w:t>
      </w:r>
    </w:p>
    <w:p>
      <w:pPr>
        <w:spacing w:after="200"/>
      </w:pPr>
      <w:r>
        <w:rPr>
          <w:rFonts w:ascii="Calibri" w:hAnsi="Calibri" w:eastAsia="Calibri"/>
          <w:b w:val="0"/>
          <w:i/>
          <w:color w:val="666666"/>
          <w:sz w:val="20"/>
        </w:rPr>
        <w:t>Durée indicative : 35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Deux niveaux de pilotage. Le cabinet pilote son équipe et son abonnement. WebVoice pilote la plateforme — indicateurs globaux — sans accéder au fond des affaires.</w:t>
      </w:r>
    </w:p>
    <w:p>
      <w:pPr>
        <w:pBdr>
          <w:bottom w:val="single" w:sz="6" w:space="1" w:color="C4A35A"/>
        </w:pBdr>
      </w:pPr>
    </w:p>
    <w:p>
      <w:pPr>
        <w:pStyle w:val="Heading2"/>
      </w:pPr>
      <w:r>
        <w:rPr>
          <w:rFonts w:ascii="Calibri" w:hAnsi="Calibri" w:eastAsia="Calibri"/>
          <w:b/>
          <w:color w:val="1A3A5C"/>
          <w:sz w:val="26"/>
        </w:rPr>
        <w:t>Slide 8 — Atelier plaidoirie — vue produit</w:t>
      </w:r>
    </w:p>
    <w:p>
      <w:pPr>
        <w:spacing w:after="200"/>
      </w:pPr>
      <w:r>
        <w:rPr>
          <w:rFonts w:ascii="Calibri" w:hAnsi="Calibri" w:eastAsia="Calibri"/>
          <w:b w:val="0"/>
          <w:i/>
          <w:color w:val="666666"/>
          <w:sz w:val="20"/>
        </w:rPr>
        <w:t>Durée indicative : 45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Le cœur du produit, c’est l’atelier en cinq étapes. Un : dossier et pièces, avec OCR. Deux : dictée — Web Speech sur Chrome ou Edge, Whisper sinon ou pour un fichier audio. Trois : transcription éditable, bouton Corriger. Quatre : rédaction IA et chat de révision. Cinq : export Word avec en-tête cabinet. Trois garde-fous : pas de faits inventés, relecture humaine, identités pseudonymisées avant l’IA.</w:t>
      </w:r>
    </w:p>
    <w:p>
      <w:pPr>
        <w:spacing w:after="200"/>
      </w:pPr>
      <w:r>
        <w:rPr>
          <w:rFonts w:ascii="Calibri" w:hAnsi="Calibri" w:eastAsia="Calibri"/>
          <w:b w:val="0"/>
          <w:i/>
          <w:color w:val="666666"/>
          <w:sz w:val="20"/>
        </w:rPr>
        <w:t>Astuce : Ici tu montres le PRODUIT. Pas l’architecture.</w:t>
      </w:r>
    </w:p>
    <w:p>
      <w:pPr>
        <w:pBdr>
          <w:bottom w:val="single" w:sz="6" w:space="1" w:color="C4A35A"/>
        </w:pBdr>
      </w:pPr>
    </w:p>
    <w:p>
      <w:pPr>
        <w:pStyle w:val="Heading2"/>
      </w:pPr>
      <w:r>
        <w:rPr>
          <w:rFonts w:ascii="Calibri" w:hAnsi="Calibri" w:eastAsia="Calibri"/>
          <w:b/>
          <w:color w:val="1A3A5C"/>
          <w:sz w:val="26"/>
        </w:rPr>
        <w:t>Slide 9 — Dossier / données qui alimentent l’atelier</w:t>
      </w:r>
    </w:p>
    <w:p>
      <w:pPr>
        <w:spacing w:after="200"/>
      </w:pPr>
      <w:r>
        <w:rPr>
          <w:rFonts w:ascii="Calibri" w:hAnsi="Calibri" w:eastAsia="Calibri"/>
          <w:b w:val="0"/>
          <w:i/>
          <w:color w:val="666666"/>
          <w:sz w:val="20"/>
        </w:rPr>
        <w:t>Durée indicative : 30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L’atelier s’appuie sur le dossier : fiche, parties, pièces indexées. C’est ce contexte qui nourrit la rédaction et le masquage des noms.</w:t>
      </w:r>
    </w:p>
    <w:p>
      <w:pPr>
        <w:pBdr>
          <w:bottom w:val="single" w:sz="6" w:space="1" w:color="C4A35A"/>
        </w:pBdr>
      </w:pPr>
    </w:p>
    <w:p>
      <w:pPr>
        <w:pStyle w:val="Heading2"/>
      </w:pPr>
      <w:r>
        <w:rPr>
          <w:rFonts w:ascii="Calibri" w:hAnsi="Calibri" w:eastAsia="Calibri"/>
          <w:b/>
          <w:color w:val="1A3A5C"/>
          <w:sz w:val="26"/>
        </w:rPr>
        <w:t>Slide 10 — Fonctionnalités annexes (agenda, équipe…)</w:t>
      </w:r>
    </w:p>
    <w:p>
      <w:pPr>
        <w:spacing w:after="200"/>
      </w:pPr>
      <w:r>
        <w:rPr>
          <w:rFonts w:ascii="Calibri" w:hAnsi="Calibri" w:eastAsia="Calibri"/>
          <w:b w:val="0"/>
          <w:i/>
          <w:color w:val="666666"/>
          <w:sz w:val="20"/>
        </w:rPr>
        <w:t>Durée indicative : 25–40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Autour de l’atelier : planning et rappels, équipe par invitation, paramètres cabinet. Je n’entre pas dans chaque écran — le fil conducteur reste la plaidoirie.</w:t>
      </w:r>
    </w:p>
    <w:p>
      <w:pPr>
        <w:spacing w:after="200"/>
      </w:pPr>
      <w:r>
        <w:rPr>
          <w:rFonts w:ascii="Calibri" w:hAnsi="Calibri" w:eastAsia="Calibri"/>
          <w:b w:val="0"/>
          <w:i/>
          <w:color w:val="666666"/>
          <w:sz w:val="20"/>
        </w:rPr>
        <w:t>Astuce : Adapte si ta numérotation PPT diffère — garde l’idée.</w:t>
      </w:r>
    </w:p>
    <w:p>
      <w:pPr>
        <w:pBdr>
          <w:bottom w:val="single" w:sz="6" w:space="1" w:color="C4A35A"/>
        </w:pBdr>
      </w:pPr>
    </w:p>
    <w:p>
      <w:pPr>
        <w:pStyle w:val="Heading2"/>
      </w:pPr>
      <w:r>
        <w:rPr>
          <w:rFonts w:ascii="Calibri" w:hAnsi="Calibri" w:eastAsia="Calibri"/>
          <w:b/>
          <w:color w:val="1A3A5C"/>
          <w:sz w:val="26"/>
        </w:rPr>
        <w:t>Slide 11 — Pilotage / plans (si slide plans)</w:t>
      </w:r>
    </w:p>
    <w:p>
      <w:pPr>
        <w:spacing w:after="200"/>
      </w:pPr>
      <w:r>
        <w:rPr>
          <w:rFonts w:ascii="Calibri" w:hAnsi="Calibri" w:eastAsia="Calibri"/>
          <w:b w:val="0"/>
          <w:i/>
          <w:color w:val="666666"/>
          <w:sz w:val="20"/>
        </w:rPr>
        <w:t>Durée indicative : 35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Côté cabinet : l’admin choisit le plan, suit les quotas ; les avocats consultent sans payer. Côté plateforme : supervision globale, pas de lecture des dossiers.</w:t>
      </w:r>
    </w:p>
    <w:p>
      <w:pPr>
        <w:pBdr>
          <w:bottom w:val="single" w:sz="6" w:space="1" w:color="C4A35A"/>
        </w:pBdr>
      </w:pPr>
    </w:p>
    <w:p>
      <w:pPr>
        <w:pStyle w:val="Heading2"/>
      </w:pPr>
      <w:r>
        <w:rPr>
          <w:rFonts w:ascii="Calibri" w:hAnsi="Calibri" w:eastAsia="Calibri"/>
          <w:b/>
          <w:color w:val="1A3A5C"/>
          <w:sz w:val="26"/>
        </w:rPr>
        <w:t>Slide 12 — Transition conception</w:t>
      </w:r>
    </w:p>
    <w:p>
      <w:pPr>
        <w:spacing w:after="200"/>
      </w:pPr>
      <w:r>
        <w:rPr>
          <w:rFonts w:ascii="Calibri" w:hAnsi="Calibri" w:eastAsia="Calibri"/>
          <w:b w:val="0"/>
          <w:i/>
          <w:color w:val="666666"/>
          <w:sz w:val="20"/>
        </w:rPr>
        <w:t>Durée indicative : 15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Je passe maintenant à la conception : comment c’est câblé, puis le pipeline métier, la protection des données, et le stockage.</w:t>
      </w:r>
    </w:p>
    <w:p>
      <w:pPr>
        <w:pBdr>
          <w:bottom w:val="single" w:sz="6" w:space="1" w:color="C4A35A"/>
        </w:pBdr>
      </w:pPr>
    </w:p>
    <w:p>
      <w:pPr>
        <w:pStyle w:val="Heading2"/>
      </w:pPr>
      <w:r>
        <w:rPr>
          <w:rFonts w:ascii="Calibri" w:hAnsi="Calibri" w:eastAsia="Calibri"/>
          <w:b/>
          <w:color w:val="1A3A5C"/>
          <w:sz w:val="26"/>
        </w:rPr>
        <w:t>Slide 13 — Architecture 3-tiers</w:t>
      </w:r>
    </w:p>
    <w:p>
      <w:pPr>
        <w:spacing w:after="200"/>
      </w:pPr>
      <w:r>
        <w:rPr>
          <w:rFonts w:ascii="Calibri" w:hAnsi="Calibri" w:eastAsia="Calibri"/>
          <w:b w:val="0"/>
          <w:i/>
          <w:color w:val="666666"/>
          <w:sz w:val="20"/>
        </w:rPr>
        <w:t>Durée indicative : 45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Architecture client-serveur en trois tiers. Présentation : navigateur Next.js, entrée HTTPS via Caddy. Métier : API FastAPI — seul point d’entrée vers les données — avec Celery pour les tâches longues. Données et services : PostgreSQL, Redis, MinIO en privé ; à l’extérieur OpenAI, Whisper, OCR, Resend, Turnstile. Le navigateur ne touche jamais la base. L’API contrôle rôles, cabinet et règles métier.</w:t>
      </w:r>
    </w:p>
    <w:p>
      <w:pPr>
        <w:spacing w:after="200"/>
      </w:pPr>
      <w:r>
        <w:rPr>
          <w:rFonts w:ascii="Calibri" w:hAnsi="Calibri" w:eastAsia="Calibri"/>
          <w:b w:val="0"/>
          <w:i/>
          <w:color w:val="666666"/>
          <w:sz w:val="20"/>
        </w:rPr>
        <w:t>Astuce : Transition : « Que fait le système quand l’avocat travaille ? Le pipeline. »</w:t>
      </w:r>
    </w:p>
    <w:p>
      <w:pPr>
        <w:pBdr>
          <w:bottom w:val="single" w:sz="6" w:space="1" w:color="C4A35A"/>
        </w:pBdr>
      </w:pPr>
    </w:p>
    <w:p>
      <w:pPr>
        <w:pStyle w:val="Heading2"/>
      </w:pPr>
      <w:r>
        <w:rPr>
          <w:rFonts w:ascii="Calibri" w:hAnsi="Calibri" w:eastAsia="Calibri"/>
          <w:b/>
          <w:color w:val="1A3A5C"/>
          <w:sz w:val="26"/>
        </w:rPr>
        <w:t>Slide 14 — Pipeline métier — humain dans la boucle</w:t>
      </w:r>
    </w:p>
    <w:p>
      <w:pPr>
        <w:spacing w:after="200"/>
      </w:pPr>
      <w:r>
        <w:rPr>
          <w:rFonts w:ascii="Calibri" w:hAnsi="Calibri" w:eastAsia="Calibri"/>
          <w:b w:val="0"/>
          <w:i/>
          <w:color w:val="666666"/>
          <w:sz w:val="20"/>
        </w:rPr>
        <w:t>Durée indicative : 45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Même parcours que l’atelier, mais vue conception : à chaque étape, l’avocat agit, la tech exécute — OCR, Whisper, LLM — et on a un livrable. L’humain reste dans la boucle, surtout avant l’export Word. Ce n’est pas une deuxième liste produit : c’est qui fait quoi.</w:t>
      </w:r>
    </w:p>
    <w:p>
      <w:pPr>
        <w:spacing w:after="200"/>
      </w:pPr>
      <w:r>
        <w:rPr>
          <w:rFonts w:ascii="Calibri" w:hAnsi="Calibri" w:eastAsia="Calibri"/>
          <w:b w:val="0"/>
          <w:i/>
          <w:color w:val="666666"/>
          <w:sz w:val="20"/>
        </w:rPr>
        <w:t>Astuce : Ne pas refaire le slide 8 mot pour mot.</w:t>
      </w:r>
    </w:p>
    <w:p>
      <w:pPr>
        <w:pBdr>
          <w:bottom w:val="single" w:sz="6" w:space="1" w:color="C4A35A"/>
        </w:pBdr>
      </w:pPr>
    </w:p>
    <w:p>
      <w:pPr>
        <w:pStyle w:val="Heading2"/>
      </w:pPr>
      <w:r>
        <w:rPr>
          <w:rFonts w:ascii="Calibri" w:hAnsi="Calibri" w:eastAsia="Calibri"/>
          <w:b/>
          <w:color w:val="1A3A5C"/>
          <w:sz w:val="26"/>
        </w:rPr>
        <w:t>Slide 15 — Pseudonymisation (coulisse backend)</w:t>
      </w:r>
    </w:p>
    <w:p>
      <w:pPr>
        <w:spacing w:after="200"/>
      </w:pPr>
      <w:r>
        <w:rPr>
          <w:rFonts w:ascii="Calibri" w:hAnsi="Calibri" w:eastAsia="Calibri"/>
          <w:b w:val="0"/>
          <w:i/>
          <w:color w:val="666666"/>
          <w:sz w:val="20"/>
        </w:rPr>
        <w:t>Durée indicative : 60–75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Cette slide n’est pas une étape de l’atelier : c’est une coulisse backend, avant l’appel à l’API OpenAI. Entrée : texte encore en clair — dictée, pièces OCR, fiche dossier. Masquage : le module pii_mask remplace les identités par des codes — PARTIE_1, CIN_1 — et pii_store enregistre la correspondance sur le dossier, en PostgreSQL, table cases, champ pii_mapping_json. OpenAI reçoit uniquement les codes. Restauration : le même module remet les vrais noms grâce au dictionnaire. Puis l’avocat voit le Word. Marge d’erreur : une donnée non reconnue peut partir en clair vers l’API — ce n’est pas un NER entraîné. Perspective : renforcer plus tard avec NER ou DLP.</w:t>
      </w:r>
    </w:p>
    <w:p>
      <w:pPr>
        <w:spacing w:after="200"/>
      </w:pPr>
      <w:r>
        <w:rPr>
          <w:rFonts w:ascii="Calibri" w:hAnsi="Calibri" w:eastAsia="Calibri"/>
          <w:b w:val="0"/>
          <w:i/>
          <w:color w:val="666666"/>
          <w:sz w:val="20"/>
        </w:rPr>
        <w:t>Astuce : Dis « codes » ; « jetons » = même chose. Un module, deux sens : aller et retour.</w:t>
      </w:r>
    </w:p>
    <w:p>
      <w:pPr>
        <w:pBdr>
          <w:bottom w:val="single" w:sz="6" w:space="1" w:color="C4A35A"/>
        </w:pBdr>
      </w:pPr>
    </w:p>
    <w:p>
      <w:pPr>
        <w:pStyle w:val="Heading2"/>
      </w:pPr>
      <w:r>
        <w:rPr>
          <w:rFonts w:ascii="Calibri" w:hAnsi="Calibri" w:eastAsia="Calibri"/>
          <w:b/>
          <w:color w:val="1A3A5C"/>
          <w:sz w:val="26"/>
        </w:rPr>
        <w:t>Slide 16 — Trois espaces de stockage</w:t>
      </w:r>
    </w:p>
    <w:p>
      <w:pPr>
        <w:spacing w:after="200"/>
      </w:pPr>
      <w:r>
        <w:rPr>
          <w:rFonts w:ascii="Calibri" w:hAnsi="Calibri" w:eastAsia="Calibri"/>
          <w:b w:val="0"/>
          <w:i/>
          <w:color w:val="666666"/>
          <w:sz w:val="20"/>
        </w:rPr>
        <w:t>Durée indicative : 45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Règle : isolation multi-tenant. Base et schéma partagés, chaque table porte cabinet_id, l’API filtre toujours avec le JWT. Trois espaces : PostgreSQL = vérité métier — comptes, dossiers, brouillons, abonnements, et aussi le dictionnaire PII. MinIO = fichiers chiffrés — pièces, logos, Word. Redis = files d’attente — OCR, e-mails — et notifications. Exemple pièce : fichier dans MinIO, métadonnées dans Postgres, OCR via Redis, texte OCR revenu en Postgres.</w:t>
      </w:r>
    </w:p>
    <w:p>
      <w:pPr>
        <w:pBdr>
          <w:bottom w:val="single" w:sz="6" w:space="1" w:color="C4A35A"/>
        </w:pBdr>
      </w:pPr>
    </w:p>
    <w:p>
      <w:pPr>
        <w:pStyle w:val="Heading2"/>
      </w:pPr>
      <w:r>
        <w:rPr>
          <w:rFonts w:ascii="Calibri" w:hAnsi="Calibri" w:eastAsia="Calibri"/>
          <w:b/>
          <w:color w:val="1A3A5C"/>
          <w:sz w:val="26"/>
        </w:rPr>
        <w:t>Slide 17 — Déploiement / CI-CD (si présente)</w:t>
      </w:r>
    </w:p>
    <w:p>
      <w:pPr>
        <w:spacing w:after="200"/>
      </w:pPr>
      <w:r>
        <w:rPr>
          <w:rFonts w:ascii="Calibri" w:hAnsi="Calibri" w:eastAsia="Calibri"/>
          <w:b w:val="0"/>
          <w:i/>
          <w:color w:val="666666"/>
          <w:sz w:val="20"/>
        </w:rPr>
        <w:t>Durée indicative : 30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Production sur VPS, Docker Compose, Caddy pour le TLS. Mise à jour : images via GHCR, pull sur le serveur, redémarrage des services. URL : lexhub.space.</w:t>
      </w:r>
    </w:p>
    <w:p>
      <w:pPr>
        <w:pBdr>
          <w:bottom w:val="single" w:sz="6" w:space="1" w:color="C4A35A"/>
        </w:pBdr>
      </w:pPr>
    </w:p>
    <w:p>
      <w:pPr>
        <w:pStyle w:val="Heading2"/>
      </w:pPr>
      <w:r>
        <w:rPr>
          <w:rFonts w:ascii="Calibri" w:hAnsi="Calibri" w:eastAsia="Calibri"/>
          <w:b/>
          <w:color w:val="1A3A5C"/>
          <w:sz w:val="26"/>
        </w:rPr>
        <w:t>Slide 18 — Rentabilisation — logique ingénieur</w:t>
      </w:r>
    </w:p>
    <w:p>
      <w:pPr>
        <w:spacing w:after="200"/>
      </w:pPr>
      <w:r>
        <w:rPr>
          <w:rFonts w:ascii="Calibri" w:hAnsi="Calibri" w:eastAsia="Calibri"/>
          <w:b w:val="0"/>
          <w:i/>
          <w:color w:val="666666"/>
          <w:sz w:val="20"/>
        </w:rPr>
        <w:t>Durée indicative : 50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On facture de la valeur métier, pas des tokens. Une rédaction plaidoirie = dix crédits. Le coût API estimé par rédaction est très inférieur au prix packagé du crédit dans les plans. Plans au-dessus du coût, packs, sièges, essai hybride. Le détail des calculs est dans le rapport — ici je montre la logique produit.</w:t>
      </w:r>
    </w:p>
    <w:p>
      <w:pPr>
        <w:spacing w:after="200"/>
      </w:pPr>
      <w:r>
        <w:rPr>
          <w:rFonts w:ascii="Calibri" w:hAnsi="Calibri" w:eastAsia="Calibri"/>
          <w:b w:val="0"/>
          <w:i/>
          <w:color w:val="666666"/>
          <w:sz w:val="20"/>
        </w:rPr>
        <w:t>Astuce : Si on t’embrouille sur les tokens : ramène à « 1 rédaction = 10 crédits ».</w:t>
      </w:r>
    </w:p>
    <w:p>
      <w:pPr>
        <w:pBdr>
          <w:bottom w:val="single" w:sz="6" w:space="1" w:color="C4A35A"/>
        </w:pBdr>
      </w:pPr>
    </w:p>
    <w:p>
      <w:pPr>
        <w:pStyle w:val="Heading2"/>
      </w:pPr>
      <w:r>
        <w:rPr>
          <w:rFonts w:ascii="Calibri" w:hAnsi="Calibri" w:eastAsia="Calibri"/>
          <w:b/>
          <w:color w:val="1A3A5C"/>
          <w:sz w:val="26"/>
        </w:rPr>
        <w:t>Slide 19 — Plans / packs / croissance (si présente)</w:t>
      </w:r>
    </w:p>
    <w:p>
      <w:pPr>
        <w:spacing w:after="200"/>
      </w:pPr>
      <w:r>
        <w:rPr>
          <w:rFonts w:ascii="Calibri" w:hAnsi="Calibri" w:eastAsia="Calibri"/>
          <w:b w:val="0"/>
          <w:i/>
          <w:color w:val="666666"/>
          <w:sz w:val="20"/>
        </w:rPr>
        <w:t>Durée indicative : 40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Découverte, Standard, Expert — l’admin cabinet choisit et paie. Packs de crédits pour les pics d’usage. Croissance : sièges supplémentaires, parrainage, e-mails lifecycle.</w:t>
      </w:r>
    </w:p>
    <w:p>
      <w:pPr>
        <w:pBdr>
          <w:bottom w:val="single" w:sz="6" w:space="1" w:color="C4A35A"/>
        </w:pBdr>
      </w:pPr>
    </w:p>
    <w:p>
      <w:pPr>
        <w:pStyle w:val="Heading2"/>
      </w:pPr>
      <w:r>
        <w:rPr>
          <w:rFonts w:ascii="Calibri" w:hAnsi="Calibri" w:eastAsia="Calibri"/>
          <w:b/>
          <w:color w:val="1A3A5C"/>
          <w:sz w:val="26"/>
        </w:rPr>
        <w:t>Slide 20 — Tests / qualité (si présente)</w:t>
      </w:r>
    </w:p>
    <w:p>
      <w:pPr>
        <w:spacing w:after="200"/>
      </w:pPr>
      <w:r>
        <w:rPr>
          <w:rFonts w:ascii="Calibri" w:hAnsi="Calibri" w:eastAsia="Calibri"/>
          <w:b w:val="0"/>
          <w:i/>
          <w:color w:val="666666"/>
          <w:sz w:val="20"/>
        </w:rPr>
        <w:t>Durée indicative : 30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Parcours testés de bout en bout : inscription, atelier, validation assistant, isolation cabinet, masquage PII visible dans le flux, export Word.</w:t>
      </w:r>
    </w:p>
    <w:p>
      <w:pPr>
        <w:pBdr>
          <w:bottom w:val="single" w:sz="6" w:space="1" w:color="C4A35A"/>
        </w:pBdr>
      </w:pPr>
    </w:p>
    <w:p>
      <w:pPr>
        <w:pStyle w:val="Heading2"/>
      </w:pPr>
      <w:r>
        <w:rPr>
          <w:rFonts w:ascii="Calibri" w:hAnsi="Calibri" w:eastAsia="Calibri"/>
          <w:b/>
          <w:color w:val="1A3A5C"/>
          <w:sz w:val="26"/>
        </w:rPr>
        <w:t>Slide 21 — Démo — intro</w:t>
      </w:r>
    </w:p>
    <w:p>
      <w:pPr>
        <w:spacing w:after="200"/>
      </w:pPr>
      <w:r>
        <w:rPr>
          <w:rFonts w:ascii="Calibri" w:hAnsi="Calibri" w:eastAsia="Calibri"/>
          <w:b w:val="0"/>
          <w:i/>
          <w:color w:val="666666"/>
          <w:sz w:val="20"/>
        </w:rPr>
        <w:t>Durée indicative : 15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Je vais maintenant montrer LexHub en production. Je me concentre sur l’atelier et, si le temps le permet, la règle assistant / validé.</w:t>
      </w:r>
    </w:p>
    <w:p>
      <w:pPr>
        <w:pBdr>
          <w:bottom w:val="single" w:sz="6" w:space="1" w:color="C4A35A"/>
        </w:pBdr>
      </w:pPr>
    </w:p>
    <w:p>
      <w:pPr>
        <w:pStyle w:val="Heading2"/>
      </w:pPr>
      <w:r>
        <w:rPr>
          <w:rFonts w:ascii="Calibri" w:hAnsi="Calibri" w:eastAsia="Calibri"/>
          <w:b/>
          <w:color w:val="1A3A5C"/>
          <w:sz w:val="26"/>
        </w:rPr>
        <w:t>Slide 22 — Démo (ou captures)</w:t>
      </w:r>
    </w:p>
    <w:p>
      <w:pPr>
        <w:spacing w:after="200"/>
      </w:pPr>
      <w:r>
        <w:rPr>
          <w:rFonts w:ascii="Calibri" w:hAnsi="Calibri" w:eastAsia="Calibri"/>
          <w:b w:val="0"/>
          <w:i/>
          <w:color w:val="666666"/>
          <w:sz w:val="20"/>
        </w:rPr>
        <w:t>Durée indicative : 2–3 min</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Pendant la démo je commente à voix haute : création ou ouverture dossier, dépôt pièce, dictée ou texte, correction, rédaction, validation, export. J’insiste : tant que ce n’est pas validé, l’assistant ne voit pas le brouillon.</w:t>
      </w:r>
    </w:p>
    <w:p>
      <w:pPr>
        <w:spacing w:after="200"/>
      </w:pPr>
      <w:r>
        <w:rPr>
          <w:rFonts w:ascii="Calibri" w:hAnsi="Calibri" w:eastAsia="Calibri"/>
          <w:b w:val="0"/>
          <w:i/>
          <w:color w:val="666666"/>
          <w:sz w:val="20"/>
        </w:rPr>
        <w:t>Astuce : Prépare un compte démo + kit fictif avant la soutenance.</w:t>
      </w:r>
    </w:p>
    <w:p>
      <w:pPr>
        <w:pBdr>
          <w:bottom w:val="single" w:sz="6" w:space="1" w:color="C4A35A"/>
        </w:pBdr>
      </w:pPr>
    </w:p>
    <w:p>
      <w:pPr>
        <w:pStyle w:val="Heading2"/>
      </w:pPr>
      <w:r>
        <w:rPr>
          <w:rFonts w:ascii="Calibri" w:hAnsi="Calibri" w:eastAsia="Calibri"/>
          <w:b/>
          <w:color w:val="1A3A5C"/>
          <w:sz w:val="26"/>
        </w:rPr>
        <w:t>Slide 23 — Résultats, limites, perspectives</w:t>
      </w:r>
    </w:p>
    <w:p>
      <w:pPr>
        <w:spacing w:after="200"/>
      </w:pPr>
      <w:r>
        <w:rPr>
          <w:rFonts w:ascii="Calibri" w:hAnsi="Calibri" w:eastAsia="Calibri"/>
          <w:b w:val="0"/>
          <w:i/>
          <w:color w:val="666666"/>
          <w:sz w:val="20"/>
        </w:rPr>
        <w:t>Durée indicative : 50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Résultats : plateforme en production, atelier bout en bout, isolation multi-tenant et RBAC, grille tarifaire opérationnelle. Limites : pas de comptabilité cabinet, pas de recherche juridique intégrée, pas d’app mobile, pas de lien Mahakim, et un masquage PII par règles — pas NER ou DLP industriel. Perspectives : paiement carte réel, mobile, recherche juridique, passerelle tribunaux, renforcement PII type Presidio, extension géographique.</w:t>
      </w:r>
    </w:p>
    <w:p>
      <w:pPr>
        <w:pBdr>
          <w:bottom w:val="single" w:sz="6" w:space="1" w:color="C4A35A"/>
        </w:pBdr>
      </w:pPr>
    </w:p>
    <w:p>
      <w:pPr>
        <w:pStyle w:val="Heading2"/>
      </w:pPr>
      <w:r>
        <w:rPr>
          <w:rFonts w:ascii="Calibri" w:hAnsi="Calibri" w:eastAsia="Calibri"/>
          <w:b/>
          <w:color w:val="1A3A5C"/>
          <w:sz w:val="26"/>
        </w:rPr>
        <w:t>Slide 24 — Conclusion</w:t>
      </w:r>
    </w:p>
    <w:p>
      <w:pPr>
        <w:spacing w:after="200"/>
      </w:pPr>
      <w:r>
        <w:rPr>
          <w:rFonts w:ascii="Calibri" w:hAnsi="Calibri" w:eastAsia="Calibri"/>
          <w:b w:val="0"/>
          <w:i/>
          <w:color w:val="666666"/>
          <w:sz w:val="20"/>
        </w:rPr>
        <w:t>Durée indicative : 30 s</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LexHub n’est pas un chatbot qui invente le droit. C’est un outil de cabinet : de la voix au Word, avec rôles, isolation, et un produit réellement déployé. Je vous remercie. Je suis prête pour vos questions.</w:t>
      </w:r>
    </w:p>
    <w:p>
      <w:pPr>
        <w:pBdr>
          <w:bottom w:val="single" w:sz="6" w:space="1" w:color="C4A35A"/>
        </w:pBdr>
      </w:pPr>
    </w:p>
    <w:p>
      <w:pPr>
        <w:pStyle w:val="Heading2"/>
      </w:pPr>
      <w:r>
        <w:rPr>
          <w:rFonts w:ascii="Calibri" w:hAnsi="Calibri" w:eastAsia="Calibri"/>
          <w:b/>
          <w:color w:val="1A3A5C"/>
          <w:sz w:val="26"/>
        </w:rPr>
        <w:t>Slide 25 — Questions / merci</w:t>
      </w:r>
    </w:p>
    <w:p>
      <w:pPr>
        <w:spacing w:after="200"/>
      </w:pPr>
      <w:r>
        <w:rPr>
          <w:rFonts w:ascii="Calibri" w:hAnsi="Calibri" w:eastAsia="Calibri"/>
          <w:b w:val="0"/>
          <w:i/>
          <w:color w:val="666666"/>
          <w:sz w:val="20"/>
        </w:rPr>
        <w:t>Durée indicative : —</w:t>
      </w:r>
    </w:p>
    <w:p>
      <w:pPr>
        <w:spacing w:after="120" w:before="0"/>
      </w:pPr>
      <w:r>
        <w:rPr>
          <w:rFonts w:ascii="Calibri" w:hAnsi="Calibri" w:eastAsia="Calibri"/>
          <w:b/>
          <w:i w:val="0"/>
          <w:sz w:val="20"/>
        </w:rPr>
        <w:t>À dire :</w:t>
      </w:r>
    </w:p>
    <w:p>
      <w:pPr>
        <w:spacing w:after="160"/>
        <w:ind w:left="283"/>
      </w:pPr>
      <w:r>
        <w:rPr>
          <w:rFonts w:ascii="Calibri" w:hAnsi="Calibri" w:eastAsia="Calibri"/>
          <w:b w:val="0"/>
          <w:i/>
          <w:color w:val="2C3E50"/>
          <w:sz w:val="22"/>
        </w:rPr>
        <w:t>Je vous remercie pour votre attention. Je suis à votre disposition pour les questions.</w:t>
      </w:r>
    </w:p>
    <w:p>
      <w:pPr>
        <w:spacing w:after="200"/>
      </w:pPr>
      <w:r>
        <w:rPr>
          <w:rFonts w:ascii="Calibri" w:hAnsi="Calibri" w:eastAsia="Calibri"/>
          <w:b w:val="0"/>
          <w:i/>
          <w:color w:val="666666"/>
          <w:sz w:val="20"/>
        </w:rPr>
        <w:t>Astuce : Si ta pagination PPT diffère de 1–25, mappe mentalement par TITRE de slide, pas par numéro.</w:t>
      </w:r>
    </w:p>
    <w:p>
      <w:pPr>
        <w:pBdr>
          <w:bottom w:val="single" w:sz="6" w:space="1" w:color="C4A35A"/>
        </w:pBdr>
      </w:pPr>
    </w:p>
    <w:p>
      <w:r>
        <w:br w:type="page"/>
      </w:r>
    </w:p>
    <w:p>
      <w:pPr>
        <w:pStyle w:val="Heading1"/>
      </w:pPr>
      <w:r>
        <w:rPr>
          <w:rFonts w:ascii="Calibri" w:hAnsi="Calibri" w:eastAsia="Calibri"/>
          <w:b/>
          <w:color w:val="1A3A5C"/>
          <w:sz w:val="32"/>
        </w:rPr>
        <w:t>PARTIE B — Annexe détails (pour maîtriser)</w:t>
      </w:r>
    </w:p>
    <w:p>
      <w:pPr>
        <w:spacing w:after="200"/>
      </w:pPr>
      <w:r>
        <w:rPr>
          <w:rFonts w:ascii="Calibri" w:hAnsi="Calibri" w:eastAsia="Calibri"/>
          <w:b w:val="0"/>
          <w:i/>
          <w:color w:val="666666"/>
          <w:sz w:val="20"/>
        </w:rPr>
        <w:t>Tu ne lis pas ça à l’oral sauf si on te questionne. C’est ta fiche de secours.</w:t>
      </w:r>
    </w:p>
    <w:p>
      <w:pPr>
        <w:pStyle w:val="Heading2"/>
      </w:pPr>
      <w:r>
        <w:rPr>
          <w:rFonts w:ascii="Calibri" w:hAnsi="Calibri" w:eastAsia="Calibri"/>
          <w:b/>
          <w:color w:val="1A3A5C"/>
          <w:sz w:val="26"/>
        </w:rPr>
        <w:t>B1. Pseudonymisation — film exact</w:t>
      </w:r>
    </w:p>
    <w:p>
      <w:pPr>
        <w:spacing w:after="120" w:before="0"/>
      </w:pPr>
      <w:r>
        <w:rPr>
          <w:rFonts w:ascii="Calibri" w:hAnsi="Calibri" w:eastAsia="Calibri"/>
          <w:b w:val="0"/>
          <w:i w:val="0"/>
          <w:sz w:val="22"/>
        </w:rPr>
        <w:t>Ce n’est PAS une étape visible de l’atelier. C’est une coulisse : juste avant chaque appel LLM (correction, rédaction, révision…).</w:t>
      </w:r>
    </w:p>
    <w:p>
      <w:pPr>
        <w:spacing w:after="120" w:before="0"/>
      </w:pPr>
      <w:r>
        <w:rPr>
          <w:rFonts w:ascii="Calibri" w:hAnsi="Calibri" w:eastAsia="Calibri"/>
          <w:b w:val="0"/>
          <w:i w:val="0"/>
          <w:sz w:val="22"/>
        </w:rPr>
        <w:t>1) Entrée : texte clair = dictée + OCR pièces + fiche dossier.</w:t>
      </w:r>
    </w:p>
    <w:p>
      <w:pPr>
        <w:spacing w:after="120" w:before="0"/>
      </w:pPr>
      <w:r>
        <w:rPr>
          <w:rFonts w:ascii="Calibri" w:hAnsi="Calibri" w:eastAsia="Calibri"/>
          <w:b w:val="0"/>
          <w:i w:val="0"/>
          <w:sz w:val="22"/>
        </w:rPr>
        <w:t>2) Masquage : pii_mask.py remplace → PARTIE_1, CIN_1, TEL_*, EMAIL_*.</w:t>
      </w:r>
    </w:p>
    <w:p>
      <w:pPr>
        <w:spacing w:after="120" w:before="0"/>
      </w:pPr>
      <w:r>
        <w:rPr>
          <w:rFonts w:ascii="Calibri" w:hAnsi="Calibri" w:eastAsia="Calibri"/>
          <w:b w:val="0"/>
          <w:i w:val="0"/>
          <w:sz w:val="22"/>
        </w:rPr>
        <w:t>3) Stockage du dictionnaire : pii_store.py écrit cases.pii_mapping_json (PostgreSQL).</w:t>
      </w:r>
    </w:p>
    <w:p>
      <w:pPr>
        <w:spacing w:after="120" w:before="0"/>
      </w:pPr>
      <w:r>
        <w:rPr>
          <w:rFonts w:ascii="Calibri" w:hAnsi="Calibri" w:eastAsia="Calibri"/>
          <w:b w:val="0"/>
          <w:i w:val="0"/>
          <w:sz w:val="22"/>
        </w:rPr>
        <w:t>4) OpenAI API reçoit uniquement les codes (pas ChatGPT grand public / abonnement Pro).</w:t>
      </w:r>
    </w:p>
    <w:p>
      <w:pPr>
        <w:spacing w:after="120" w:before="0"/>
      </w:pPr>
      <w:r>
        <w:rPr>
          <w:rFonts w:ascii="Calibri" w:hAnsi="Calibri" w:eastAsia="Calibri"/>
          <w:b w:val="0"/>
          <w:i w:val="0"/>
          <w:sz w:val="22"/>
        </w:rPr>
        <w:t>5) Restauration : unmask_text dans pii_mask.py lit le dictionnaire et remet les noms.</w:t>
      </w:r>
    </w:p>
    <w:p>
      <w:pPr>
        <w:spacing w:after="120" w:before="0"/>
      </w:pPr>
      <w:r>
        <w:rPr>
          <w:rFonts w:ascii="Calibri" w:hAnsi="Calibri" w:eastAsia="Calibri"/>
          <w:b w:val="0"/>
          <w:i w:val="0"/>
          <w:sz w:val="22"/>
        </w:rPr>
        <w:t>6) UI / Word : l’avocat voit le texte en clair.</w:t>
      </w:r>
    </w:p>
    <w:p>
      <w:pPr>
        <w:pStyle w:val="Heading2"/>
      </w:pPr>
      <w:r>
        <w:rPr>
          <w:rFonts w:ascii="Calibri" w:hAnsi="Calibri" w:eastAsia="Calibri"/>
          <w:b/>
          <w:color w:val="1A3A5C"/>
          <w:sz w:val="26"/>
        </w:rPr>
        <w:t>B2. Deux types de données masquées (un seul module)</w:t>
      </w:r>
    </w:p>
    <w:p>
      <w:pPr>
        <w:spacing w:after="120" w:before="0"/>
      </w:pPr>
      <w:r>
        <w:rPr>
          <w:rFonts w:ascii="Calibri" w:hAnsi="Calibri" w:eastAsia="Calibri"/>
          <w:b w:val="0"/>
          <w:i w:val="0"/>
          <w:sz w:val="22"/>
        </w:rPr>
        <w:t>Un seul programme pii_mask.py. À l’intérieur :</w:t>
      </w:r>
    </w:p>
    <w:p>
      <w:pPr>
        <w:spacing w:after="120" w:before="0"/>
      </w:pPr>
      <w:r>
        <w:rPr>
          <w:rFonts w:ascii="Calibri" w:hAnsi="Calibri" w:eastAsia="Calibri"/>
          <w:b w:val="0"/>
          <w:i w:val="0"/>
          <w:sz w:val="22"/>
        </w:rPr>
        <w:t>• Structuré (CIN, tél, mail) → regex (forme stable).</w:t>
      </w:r>
    </w:p>
    <w:p>
      <w:pPr>
        <w:spacing w:after="120" w:before="0"/>
      </w:pPr>
      <w:r>
        <w:rPr>
          <w:rFonts w:ascii="Calibri" w:hAnsi="Calibri" w:eastAsia="Calibri"/>
          <w:b w:val="0"/>
          <w:i w:val="0"/>
          <w:sz w:val="22"/>
        </w:rPr>
        <w:t>• Noms → parties du dossier + heuristiques sur la dictée (plus fragile).</w:t>
      </w:r>
    </w:p>
    <w:p>
      <w:pPr>
        <w:spacing w:after="120" w:before="0"/>
      </w:pPr>
      <w:r>
        <w:rPr>
          <w:rFonts w:ascii="Calibri" w:hAnsi="Calibri" w:eastAsia="Calibri"/>
          <w:b w:val="0"/>
          <w:i w:val="0"/>
          <w:sz w:val="22"/>
        </w:rPr>
        <w:t>Ne dis PAS « deux moteurs » = deux applications. Dis : un module, deux types de remplacements.</w:t>
      </w:r>
    </w:p>
    <w:p>
      <w:pPr>
        <w:pStyle w:val="Heading2"/>
      </w:pPr>
      <w:r>
        <w:rPr>
          <w:rFonts w:ascii="Calibri" w:hAnsi="Calibri" w:eastAsia="Calibri"/>
          <w:b/>
          <w:color w:val="1A3A5C"/>
          <w:sz w:val="26"/>
        </w:rPr>
        <w:t>B3. Où est stocké le dictionnaire ?</w:t>
      </w:r>
    </w:p>
    <w:p>
      <w:pPr>
        <w:spacing w:after="120" w:before="0"/>
      </w:pPr>
      <w:r>
        <w:rPr>
          <w:rFonts w:ascii="Calibri" w:hAnsi="Calibri" w:eastAsia="Calibri"/>
          <w:b w:val="0"/>
          <w:i w:val="0"/>
          <w:sz w:val="22"/>
        </w:rPr>
        <w:t>Base : PostgreSQL</w:t>
      </w:r>
    </w:p>
    <w:p>
      <w:pPr>
        <w:spacing w:after="120" w:before="0"/>
      </w:pPr>
      <w:r>
        <w:rPr>
          <w:rFonts w:ascii="Calibri" w:hAnsi="Calibri" w:eastAsia="Calibri"/>
          <w:b w:val="0"/>
          <w:i w:val="0"/>
          <w:sz w:val="22"/>
        </w:rPr>
        <w:t>Table : cases</w:t>
      </w:r>
    </w:p>
    <w:p>
      <w:pPr>
        <w:spacing w:after="120" w:before="0"/>
      </w:pPr>
      <w:r>
        <w:rPr>
          <w:rFonts w:ascii="Calibri" w:hAnsi="Calibri" w:eastAsia="Calibri"/>
          <w:b w:val="0"/>
          <w:i w:val="0"/>
          <w:sz w:val="22"/>
        </w:rPr>
        <w:t>Colonne : pii_mapping_json</w:t>
      </w:r>
    </w:p>
    <w:p>
      <w:pPr>
        <w:spacing w:after="120" w:before="0"/>
      </w:pPr>
      <w:r>
        <w:rPr>
          <w:rFonts w:ascii="Calibri" w:hAnsi="Calibri" w:eastAsia="Calibri"/>
          <w:b w:val="0"/>
          <w:i w:val="0"/>
          <w:sz w:val="22"/>
        </w:rPr>
        <w:t>Module Python qui lit/écrit : pii_store.py</w:t>
      </w:r>
    </w:p>
    <w:p>
      <w:pPr>
        <w:spacing w:after="120" w:before="0"/>
      </w:pPr>
      <w:r>
        <w:rPr>
          <w:rFonts w:ascii="Calibri" w:hAnsi="Calibri" w:eastAsia="Calibri"/>
          <w:b w:val="0"/>
          <w:i/>
          <w:sz w:val="22"/>
        </w:rPr>
        <w:t>Exemple JSON : {"PARTIE_1": "Ahmed Kadiri", "CIN_1": "BE123456"}</w:t>
      </w:r>
    </w:p>
    <w:p>
      <w:pPr>
        <w:pStyle w:val="Heading2"/>
      </w:pPr>
      <w:r>
        <w:rPr>
          <w:rFonts w:ascii="Calibri" w:hAnsi="Calibri" w:eastAsia="Calibri"/>
          <w:b/>
          <w:color w:val="1A3A5C"/>
          <w:sz w:val="26"/>
        </w:rPr>
        <w:t>B4. Marge d’erreur — formulation honnête</w:t>
      </w:r>
    </w:p>
    <w:p>
      <w:pPr>
        <w:spacing w:after="120" w:before="0"/>
      </w:pPr>
      <w:r>
        <w:rPr>
          <w:rFonts w:ascii="Calibri" w:hAnsi="Calibri" w:eastAsia="Calibri"/>
          <w:b w:val="0"/>
          <w:i w:val="0"/>
          <w:sz w:val="22"/>
        </w:rPr>
        <w:t>Si un nom n’est ni dans la fiche ni bien détecté dans la dictée, il peut partir en clair vers OpenAI. La relecture Word contrôle le LIVRABLE ; elle n’annule pas un envoi API déjà fait. Mitigation actuelle = règles + mapping dossier. Perspective = NER/DLP.</w:t>
      </w:r>
    </w:p>
    <w:p>
      <w:pPr>
        <w:pStyle w:val="Heading2"/>
      </w:pPr>
      <w:r>
        <w:rPr>
          <w:rFonts w:ascii="Calibri" w:hAnsi="Calibri" w:eastAsia="Calibri"/>
          <w:b/>
          <w:color w:val="1A3A5C"/>
          <w:sz w:val="26"/>
        </w:rPr>
        <w:t>B5. Architecture — une phrase par brique</w:t>
      </w:r>
    </w:p>
    <w:p>
      <w:pPr>
        <w:spacing w:after="120" w:before="0"/>
      </w:pPr>
      <w:r>
        <w:rPr>
          <w:rFonts w:ascii="Calibri" w:hAnsi="Calibri" w:eastAsia="Calibri"/>
          <w:b w:val="0"/>
          <w:i w:val="0"/>
          <w:sz w:val="22"/>
        </w:rPr>
        <w:t>Caddy — Portier HTTPS du site.</w:t>
      </w:r>
    </w:p>
    <w:p>
      <w:pPr>
        <w:spacing w:after="120" w:before="0"/>
      </w:pPr>
      <w:r>
        <w:rPr>
          <w:rFonts w:ascii="Calibri" w:hAnsi="Calibri" w:eastAsia="Calibri"/>
          <w:b w:val="0"/>
          <w:i w:val="0"/>
          <w:sz w:val="22"/>
        </w:rPr>
        <w:t>Next.js — Interface dans le navigateur.</w:t>
      </w:r>
    </w:p>
    <w:p>
      <w:pPr>
        <w:spacing w:after="120" w:before="0"/>
      </w:pPr>
      <w:r>
        <w:rPr>
          <w:rFonts w:ascii="Calibri" w:hAnsi="Calibri" w:eastAsia="Calibri"/>
          <w:b w:val="0"/>
          <w:i w:val="0"/>
          <w:sz w:val="22"/>
        </w:rPr>
        <w:t>FastAPI — Cerveau : auth, rôles, règles, appels services.</w:t>
      </w:r>
    </w:p>
    <w:p>
      <w:pPr>
        <w:spacing w:after="120" w:before="0"/>
      </w:pPr>
      <w:r>
        <w:rPr>
          <w:rFonts w:ascii="Calibri" w:hAnsi="Calibri" w:eastAsia="Calibri"/>
          <w:b w:val="0"/>
          <w:i w:val="0"/>
          <w:sz w:val="22"/>
        </w:rPr>
        <w:t>PostgreSQL — Vérité métier (tables + pii_mapping_json).</w:t>
      </w:r>
    </w:p>
    <w:p>
      <w:pPr>
        <w:spacing w:after="120" w:before="0"/>
      </w:pPr>
      <w:r>
        <w:rPr>
          <w:rFonts w:ascii="Calibri" w:hAnsi="Calibri" w:eastAsia="Calibri"/>
          <w:b w:val="0"/>
          <w:i w:val="0"/>
          <w:sz w:val="22"/>
        </w:rPr>
        <w:t>MinIO — Fichiers (pièces, logos, exports).</w:t>
      </w:r>
    </w:p>
    <w:p>
      <w:pPr>
        <w:spacing w:after="120" w:before="0"/>
      </w:pPr>
      <w:r>
        <w:rPr>
          <w:rFonts w:ascii="Calibri" w:hAnsi="Calibri" w:eastAsia="Calibri"/>
          <w:b w:val="0"/>
          <w:i w:val="0"/>
          <w:sz w:val="22"/>
        </w:rPr>
        <w:t>Redis + Celery — File d’attente + workers (OCR, mails…).</w:t>
      </w:r>
    </w:p>
    <w:p>
      <w:pPr>
        <w:spacing w:after="120" w:before="0"/>
      </w:pPr>
      <w:r>
        <w:rPr>
          <w:rFonts w:ascii="Calibri" w:hAnsi="Calibri" w:eastAsia="Calibri"/>
          <w:b w:val="0"/>
          <w:i w:val="0"/>
          <w:sz w:val="22"/>
        </w:rPr>
        <w:t>Whisper / Web Speech — Voix → texte.</w:t>
      </w:r>
    </w:p>
    <w:p>
      <w:pPr>
        <w:spacing w:after="120" w:before="0"/>
      </w:pPr>
      <w:r>
        <w:rPr>
          <w:rFonts w:ascii="Calibri" w:hAnsi="Calibri" w:eastAsia="Calibri"/>
          <w:b w:val="0"/>
          <w:i w:val="0"/>
          <w:sz w:val="22"/>
        </w:rPr>
        <w:t>OpenAI API — LLM pour corriger / rédiger / réviser.</w:t>
      </w:r>
    </w:p>
    <w:p>
      <w:pPr>
        <w:spacing w:after="120" w:before="0"/>
      </w:pPr>
      <w:r>
        <w:rPr>
          <w:rFonts w:ascii="Calibri" w:hAnsi="Calibri" w:eastAsia="Calibri"/>
          <w:b w:val="0"/>
          <w:i w:val="0"/>
          <w:sz w:val="22"/>
        </w:rPr>
        <w:t>Resend — E-mails (OTP, invitations…).</w:t>
      </w:r>
    </w:p>
    <w:p>
      <w:pPr>
        <w:spacing w:after="120" w:before="0"/>
      </w:pPr>
      <w:r>
        <w:rPr>
          <w:rFonts w:ascii="Calibri" w:hAnsi="Calibri" w:eastAsia="Calibri"/>
          <w:b w:val="0"/>
          <w:i w:val="0"/>
          <w:sz w:val="22"/>
        </w:rPr>
        <w:t>Turnstile — Anti-robot après 3 échecs login.</w:t>
      </w:r>
    </w:p>
    <w:p>
      <w:pPr>
        <w:pStyle w:val="Heading2"/>
      </w:pPr>
      <w:r>
        <w:rPr>
          <w:rFonts w:ascii="Calibri" w:hAnsi="Calibri" w:eastAsia="Calibri"/>
          <w:b/>
          <w:color w:val="1A3A5C"/>
          <w:sz w:val="26"/>
        </w:rPr>
        <w:t>B6. Stockage — cycle d’une pièce</w:t>
      </w:r>
    </w:p>
    <w:p>
      <w:pPr>
        <w:spacing w:after="120" w:before="0"/>
      </w:pPr>
      <w:r>
        <w:rPr>
          <w:rFonts w:ascii="Calibri" w:hAnsi="Calibri" w:eastAsia="Calibri"/>
          <w:b w:val="0"/>
          <w:i w:val="0"/>
          <w:sz w:val="22"/>
        </w:rPr>
        <w:t>Fichier → MinIO. Métadonnées (nom, chemin, cabinet_id) → PostgreSQL. Tâche OCR → Redis/Celery. Texte OCR → PostgreSQL.</w:t>
      </w:r>
    </w:p>
    <w:p>
      <w:pPr>
        <w:pStyle w:val="Heading2"/>
      </w:pPr>
      <w:r>
        <w:rPr>
          <w:rFonts w:ascii="Calibri" w:hAnsi="Calibri" w:eastAsia="Calibri"/>
          <w:b/>
          <w:color w:val="1A3A5C"/>
          <w:sz w:val="26"/>
        </w:rPr>
        <w:t>B7. Crédits (rappel oral)</w:t>
      </w:r>
    </w:p>
    <w:p>
      <w:pPr>
        <w:spacing w:after="120" w:before="0"/>
      </w:pPr>
      <w:r>
        <w:rPr>
          <w:rFonts w:ascii="Calibri" w:hAnsi="Calibri" w:eastAsia="Calibri"/>
          <w:b w:val="0"/>
          <w:i w:val="0"/>
          <w:sz w:val="22"/>
        </w:rPr>
        <w:t>1 rédaction plaidoirie = 10 crédits. On vend de la valeur métier, pas des tokens. Détail dans le rapport de rentabilisation.</w:t>
      </w:r>
    </w:p>
    <w:p>
      <w:pPr>
        <w:pStyle w:val="Heading2"/>
      </w:pPr>
      <w:r>
        <w:rPr>
          <w:rFonts w:ascii="Calibri" w:hAnsi="Calibri" w:eastAsia="Calibri"/>
          <w:b/>
          <w:color w:val="1A3A5C"/>
          <w:sz w:val="26"/>
        </w:rPr>
        <w:t>B8. Phrases magiques si tu bloques</w:t>
      </w:r>
    </w:p>
    <w:p>
      <w:pPr>
        <w:spacing w:after="160"/>
        <w:ind w:left="283"/>
      </w:pPr>
      <w:r>
        <w:rPr>
          <w:rFonts w:ascii="Calibri" w:hAnsi="Calibri" w:eastAsia="Calibri"/>
          <w:b w:val="0"/>
          <w:i/>
          <w:color w:val="2C3E50"/>
          <w:sz w:val="22"/>
        </w:rPr>
        <w:t>« Son rôle dans LexHub, c’est [utilité]. Le détail d’implémentation est dans le rapport ; ce que je maîtrise, c’est son utilité dans le parcours avocat. »</w:t>
      </w:r>
    </w:p>
    <w:p>
      <w:pPr>
        <w:spacing w:after="160"/>
        <w:ind w:left="283"/>
      </w:pPr>
      <w:r>
        <w:rPr>
          <w:rFonts w:ascii="Calibri" w:hAnsi="Calibri" w:eastAsia="Calibri"/>
          <w:b w:val="0"/>
          <w:i/>
          <w:color w:val="2C3E50"/>
          <w:sz w:val="22"/>
        </w:rPr>
        <w:t>« Le slide 8 = l’écran. Le 13 = les tuyaux. Le 14 = l’humain + la machine. Le 15 = la coulisse PII. »</w:t>
      </w:r>
    </w:p>
    <w:p>
      <w:r>
        <w:br w:type="page"/>
      </w:r>
    </w:p>
    <w:p>
      <w:pPr>
        <w:pStyle w:val="Heading1"/>
      </w:pPr>
      <w:r>
        <w:rPr>
          <w:rFonts w:ascii="Calibri" w:hAnsi="Calibri" w:eastAsia="Calibri"/>
          <w:b/>
          <w:color w:val="1A3A5C"/>
          <w:sz w:val="32"/>
        </w:rPr>
        <w:t>PARTIE C — Questions jury difficiles + réponses</w:t>
      </w:r>
    </w:p>
    <w:p>
      <w:pPr>
        <w:spacing w:after="120" w:before="0"/>
      </w:pPr>
      <w:r>
        <w:rPr>
          <w:rFonts w:ascii="Calibri" w:hAnsi="Calibri" w:eastAsia="Calibri"/>
          <w:b/>
          <w:i w:val="0"/>
          <w:sz w:val="22"/>
        </w:rPr>
        <w:t>Q. Pourquoi ne pas utiliser seulement ChatGPT ?</w:t>
      </w:r>
    </w:p>
    <w:p>
      <w:pPr>
        <w:spacing w:after="160"/>
        <w:ind w:left="283"/>
      </w:pPr>
      <w:r>
        <w:rPr>
          <w:rFonts w:ascii="Calibri" w:hAnsi="Calibri" w:eastAsia="Calibri"/>
          <w:b w:val="0"/>
          <w:i/>
          <w:color w:val="2C3E50"/>
          <w:sz w:val="22"/>
        </w:rPr>
        <w:t>R. ChatGPT seul n’isole pas les cabinets, n’a pas les rôles avocat/assistant, ne masque pas les PII avant l’appel, et n’exporte pas un acte au nom du cabinet avec validation.</w:t>
      </w:r>
    </w:p>
    <w:p>
      <w:pPr>
        <w:spacing w:after="120" w:before="0"/>
      </w:pPr>
      <w:r>
        <w:rPr>
          <w:rFonts w:ascii="Calibri" w:hAnsi="Calibri" w:eastAsia="Calibri"/>
          <w:b/>
          <w:i w:val="0"/>
          <w:sz w:val="22"/>
        </w:rPr>
        <w:t>Q. C’est du ChatGPT ou de l’API OpenAI ?</w:t>
      </w:r>
    </w:p>
    <w:p>
      <w:pPr>
        <w:spacing w:after="160"/>
        <w:ind w:left="283"/>
      </w:pPr>
      <w:r>
        <w:rPr>
          <w:rFonts w:ascii="Calibri" w:hAnsi="Calibri" w:eastAsia="Calibri"/>
          <w:b w:val="0"/>
          <w:i/>
          <w:color w:val="2C3E50"/>
          <w:sz w:val="22"/>
        </w:rPr>
        <w:t>R. On appelle l’API OpenAI (usage facturé à l’usage), pas l’abonnement ChatGPT grand public. Le LLM est un service externe appelé par notre backend.</w:t>
      </w:r>
    </w:p>
    <w:p>
      <w:pPr>
        <w:spacing w:after="120" w:before="0"/>
      </w:pPr>
      <w:r>
        <w:rPr>
          <w:rFonts w:ascii="Calibri" w:hAnsi="Calibri" w:eastAsia="Calibri"/>
          <w:b/>
          <w:i w:val="0"/>
          <w:sz w:val="22"/>
        </w:rPr>
        <w:t>Q. Comment vous protégez le secret professionnel ?</w:t>
      </w:r>
    </w:p>
    <w:p>
      <w:pPr>
        <w:spacing w:after="160"/>
        <w:ind w:left="283"/>
      </w:pPr>
      <w:r>
        <w:rPr>
          <w:rFonts w:ascii="Calibri" w:hAnsi="Calibri" w:eastAsia="Calibri"/>
          <w:b w:val="0"/>
          <w:i/>
          <w:color w:val="2C3E50"/>
          <w:sz w:val="22"/>
        </w:rPr>
        <w:t>R. Isolation multi-tenant par cabinet_id, RBAC, TLS, navigateur sans accès direct à la base, pseudonymisation avant l’API, admin plateforme sans lecture des dossiers.</w:t>
      </w:r>
    </w:p>
    <w:p>
      <w:pPr>
        <w:spacing w:after="120" w:before="0"/>
      </w:pPr>
      <w:r>
        <w:rPr>
          <w:rFonts w:ascii="Calibri" w:hAnsi="Calibri" w:eastAsia="Calibri"/>
          <w:b/>
          <w:i w:val="0"/>
          <w:sz w:val="22"/>
        </w:rPr>
        <w:t>Q. Comment fonctionne la pseudonymisation ?</w:t>
      </w:r>
    </w:p>
    <w:p>
      <w:pPr>
        <w:spacing w:after="160"/>
        <w:ind w:left="283"/>
      </w:pPr>
      <w:r>
        <w:rPr>
          <w:rFonts w:ascii="Calibri" w:hAnsi="Calibri" w:eastAsia="Calibri"/>
          <w:b w:val="0"/>
          <w:i/>
          <w:color w:val="2C3E50"/>
          <w:sz w:val="22"/>
        </w:rPr>
        <w:t>R. Coulisse backend avant l’API. pii_mask remplace par des codes ; pii_store stocke la correspondance dans cases.pii_mapping_json ; après la réponse on restaure chez nous.</w:t>
      </w:r>
    </w:p>
    <w:p>
      <w:pPr>
        <w:spacing w:after="120" w:before="0"/>
      </w:pPr>
      <w:r>
        <w:rPr>
          <w:rFonts w:ascii="Calibri" w:hAnsi="Calibri" w:eastAsia="Calibri"/>
          <w:b/>
          <w:i w:val="0"/>
          <w:sz w:val="22"/>
        </w:rPr>
        <w:t>Q. C’est de la NER ? Vous avez entraîné un modèle ?</w:t>
      </w:r>
    </w:p>
    <w:p>
      <w:pPr>
        <w:spacing w:after="160"/>
        <w:ind w:left="283"/>
      </w:pPr>
      <w:r>
        <w:rPr>
          <w:rFonts w:ascii="Calibri" w:hAnsi="Calibri" w:eastAsia="Calibri"/>
          <w:b w:val="0"/>
          <w:i/>
          <w:color w:val="2C3E50"/>
          <w:sz w:val="22"/>
        </w:rPr>
        <w:t>R. Non. C’est de la pseudonymisation par règles : regex pour CIN/tél/mail, noms du dossier et heuristiques dictée. Pas un NER entraîné. Renforcement NER/DLP = perspective.</w:t>
      </w:r>
    </w:p>
    <w:p>
      <w:pPr>
        <w:spacing w:after="120" w:before="0"/>
      </w:pPr>
      <w:r>
        <w:rPr>
          <w:rFonts w:ascii="Calibri" w:hAnsi="Calibri" w:eastAsia="Calibri"/>
          <w:b/>
          <w:i w:val="0"/>
          <w:sz w:val="22"/>
        </w:rPr>
        <w:t>Q. Et si la dictée contient un nom qui n’est pas dans la fiche dossier ?</w:t>
      </w:r>
    </w:p>
    <w:p>
      <w:pPr>
        <w:spacing w:after="160"/>
        <w:ind w:left="283"/>
      </w:pPr>
      <w:r>
        <w:rPr>
          <w:rFonts w:ascii="Calibri" w:hAnsi="Calibri" w:eastAsia="Calibri"/>
          <w:b w:val="0"/>
          <w:i/>
          <w:color w:val="2C3E50"/>
          <w:sz w:val="22"/>
        </w:rPr>
        <w:t>R. On tente de l’extraire par heuristiques, mais ce n’est pas parfait. Marge d’erreur : une PII non reconnue peut partir en clair vers l’API. La relecture Word ne « rollback » pas cet envoi.</w:t>
      </w:r>
    </w:p>
    <w:p>
      <w:pPr>
        <w:spacing w:after="120" w:before="0"/>
      </w:pPr>
      <w:r>
        <w:rPr>
          <w:rFonts w:ascii="Calibri" w:hAnsi="Calibri" w:eastAsia="Calibri"/>
          <w:b/>
          <w:i w:val="0"/>
          <w:sz w:val="22"/>
        </w:rPr>
        <w:t>Q. Dans quelle table PostgreSQL est le mapping PII ?</w:t>
      </w:r>
    </w:p>
    <w:p>
      <w:pPr>
        <w:spacing w:after="160"/>
        <w:ind w:left="283"/>
      </w:pPr>
      <w:r>
        <w:rPr>
          <w:rFonts w:ascii="Calibri" w:hAnsi="Calibri" w:eastAsia="Calibri"/>
          <w:b w:val="0"/>
          <w:i/>
          <w:color w:val="2C3E50"/>
          <w:sz w:val="22"/>
        </w:rPr>
        <w:t>R. Table cases, colonne pii_mapping_json. Le module pii_store.py lit et écrit ce champ. Ce n’est pas une table SQL nommée pii_store.</w:t>
      </w:r>
    </w:p>
    <w:p>
      <w:pPr>
        <w:spacing w:after="120" w:before="0"/>
      </w:pPr>
      <w:r>
        <w:rPr>
          <w:rFonts w:ascii="Calibri" w:hAnsi="Calibri" w:eastAsia="Calibri"/>
          <w:b/>
          <w:i w:val="0"/>
          <w:sz w:val="22"/>
        </w:rPr>
        <w:t>Q. Pourquoi MinIO et pas les fichiers dans PostgreSQL ?</w:t>
      </w:r>
    </w:p>
    <w:p>
      <w:pPr>
        <w:spacing w:after="160"/>
        <w:ind w:left="283"/>
      </w:pPr>
      <w:r>
        <w:rPr>
          <w:rFonts w:ascii="Calibri" w:hAnsi="Calibri" w:eastAsia="Calibri"/>
          <w:b w:val="0"/>
          <w:i/>
          <w:color w:val="2C3E50"/>
          <w:sz w:val="22"/>
        </w:rPr>
        <w:t>R. Postgres reste léger : métadonnées. Les binaires (PDF, audio, Word) vont dans MinIO, stockage objet adapté.</w:t>
      </w:r>
    </w:p>
    <w:p>
      <w:pPr>
        <w:spacing w:after="120" w:before="0"/>
      </w:pPr>
      <w:r>
        <w:rPr>
          <w:rFonts w:ascii="Calibri" w:hAnsi="Calibri" w:eastAsia="Calibri"/>
          <w:b/>
          <w:i w:val="0"/>
          <w:sz w:val="22"/>
        </w:rPr>
        <w:t>Q. À quoi sert Redis ?</w:t>
      </w:r>
    </w:p>
    <w:p>
      <w:pPr>
        <w:spacing w:after="160"/>
        <w:ind w:left="283"/>
      </w:pPr>
      <w:r>
        <w:rPr>
          <w:rFonts w:ascii="Calibri" w:hAnsi="Calibri" w:eastAsia="Calibri"/>
          <w:b w:val="0"/>
          <w:i/>
          <w:color w:val="2C3E50"/>
          <w:sz w:val="22"/>
        </w:rPr>
        <w:t>R. Broker/file pour Celery : tâches asynchrones OCR, e-mails, etc., et notifications temps réel. Ce n’est pas la base métier.</w:t>
      </w:r>
    </w:p>
    <w:p>
      <w:pPr>
        <w:spacing w:after="120" w:before="0"/>
      </w:pPr>
      <w:r>
        <w:rPr>
          <w:rFonts w:ascii="Calibri" w:hAnsi="Calibri" w:eastAsia="Calibri"/>
          <w:b/>
          <w:i w:val="0"/>
          <w:sz w:val="22"/>
        </w:rPr>
        <w:t>Q. Le cabinet est-il un acteur UML ?</w:t>
      </w:r>
    </w:p>
    <w:p>
      <w:pPr>
        <w:spacing w:after="160"/>
        <w:ind w:left="283"/>
      </w:pPr>
      <w:r>
        <w:rPr>
          <w:rFonts w:ascii="Calibri" w:hAnsi="Calibri" w:eastAsia="Calibri"/>
          <w:b w:val="0"/>
          <w:i/>
          <w:color w:val="2C3E50"/>
          <w:sz w:val="22"/>
        </w:rPr>
        <w:t>R. Non. Le cabinet est le locataire multi-tenant. Les acteurs sont avocat, assistant, admin cabinet, admin plateforme.</w:t>
      </w:r>
    </w:p>
    <w:p>
      <w:pPr>
        <w:spacing w:after="120" w:before="0"/>
      </w:pPr>
      <w:r>
        <w:rPr>
          <w:rFonts w:ascii="Calibri" w:hAnsi="Calibri" w:eastAsia="Calibri"/>
          <w:b/>
          <w:i w:val="0"/>
          <w:sz w:val="22"/>
        </w:rPr>
        <w:t>Q. Que voit l’assistant ?</w:t>
      </w:r>
    </w:p>
    <w:p>
      <w:pPr>
        <w:spacing w:after="160"/>
        <w:ind w:left="283"/>
      </w:pPr>
      <w:r>
        <w:rPr>
          <w:rFonts w:ascii="Calibri" w:hAnsi="Calibri" w:eastAsia="Calibri"/>
          <w:b w:val="0"/>
          <w:i/>
          <w:color w:val="2C3E50"/>
          <w:sz w:val="22"/>
        </w:rPr>
        <w:t>R. Uniquement les plaidoiries validées par l’avocat. Les brouillons restent invisibles.</w:t>
      </w:r>
    </w:p>
    <w:p>
      <w:pPr>
        <w:spacing w:after="120" w:before="0"/>
      </w:pPr>
      <w:r>
        <w:rPr>
          <w:rFonts w:ascii="Calibri" w:hAnsi="Calibri" w:eastAsia="Calibri"/>
          <w:b/>
          <w:i w:val="0"/>
          <w:sz w:val="22"/>
        </w:rPr>
        <w:t>Q. Whisper ou Web Speech ?</w:t>
      </w:r>
    </w:p>
    <w:p>
      <w:pPr>
        <w:spacing w:after="160"/>
        <w:ind w:left="283"/>
      </w:pPr>
      <w:r>
        <w:rPr>
          <w:rFonts w:ascii="Calibri" w:hAnsi="Calibri" w:eastAsia="Calibri"/>
          <w:b w:val="0"/>
          <w:i/>
          <w:color w:val="2C3E50"/>
          <w:sz w:val="22"/>
        </w:rPr>
        <w:t>R. Web Speech dans Chrome/Edge pour la dictée navigateur. Whisper pour Firefox ou import fichier audio.</w:t>
      </w:r>
    </w:p>
    <w:p>
      <w:pPr>
        <w:spacing w:after="120" w:before="0"/>
      </w:pPr>
      <w:r>
        <w:rPr>
          <w:rFonts w:ascii="Calibri" w:hAnsi="Calibri" w:eastAsia="Calibri"/>
          <w:b/>
          <w:i w:val="0"/>
          <w:sz w:val="22"/>
        </w:rPr>
        <w:t>Q. Comment justifiez-vous les prix / les crédits ?</w:t>
      </w:r>
    </w:p>
    <w:p>
      <w:pPr>
        <w:spacing w:after="160"/>
        <w:ind w:left="283"/>
      </w:pPr>
      <w:r>
        <w:rPr>
          <w:rFonts w:ascii="Calibri" w:hAnsi="Calibri" w:eastAsia="Calibri"/>
          <w:b w:val="0"/>
          <w:i/>
          <w:color w:val="2C3E50"/>
          <w:sz w:val="22"/>
        </w:rPr>
        <w:t>R. On packagé une valeur métier : une rédaction = 10 crédits. Le coût API estimé par rédaction est inférieur au prix du crédit dans l’offre. Détail des hypothèses dans le rapport de rentabilisation.</w:t>
      </w:r>
    </w:p>
    <w:p>
      <w:pPr>
        <w:spacing w:after="120" w:before="0"/>
      </w:pPr>
      <w:r>
        <w:rPr>
          <w:rFonts w:ascii="Calibri" w:hAnsi="Calibri" w:eastAsia="Calibri"/>
          <w:b/>
          <w:i w:val="0"/>
          <w:sz w:val="22"/>
        </w:rPr>
        <w:t>Q. Le paiement carte est-il réel ?</w:t>
      </w:r>
    </w:p>
    <w:p>
      <w:pPr>
        <w:spacing w:after="160"/>
        <w:ind w:left="283"/>
      </w:pPr>
      <w:r>
        <w:rPr>
          <w:rFonts w:ascii="Calibri" w:hAnsi="Calibri" w:eastAsia="Calibri"/>
          <w:b w:val="0"/>
          <w:i/>
          <w:color w:val="2C3E50"/>
          <w:sz w:val="22"/>
        </w:rPr>
        <w:t>R. Le parcours d’abonnement et de packs est opérationnel côté produit ; l’encaissement carte marchand réel (CMI/PayZone) est une perspective annoncée.</w:t>
      </w:r>
    </w:p>
    <w:p>
      <w:pPr>
        <w:spacing w:after="120" w:before="0"/>
      </w:pPr>
      <w:r>
        <w:rPr>
          <w:rFonts w:ascii="Calibri" w:hAnsi="Calibri" w:eastAsia="Calibri"/>
          <w:b/>
          <w:i w:val="0"/>
          <w:sz w:val="22"/>
        </w:rPr>
        <w:t>Q. Où est hébergé LexHub ?</w:t>
      </w:r>
    </w:p>
    <w:p>
      <w:pPr>
        <w:spacing w:after="160"/>
        <w:ind w:left="283"/>
      </w:pPr>
      <w:r>
        <w:rPr>
          <w:rFonts w:ascii="Calibri" w:hAnsi="Calibri" w:eastAsia="Calibri"/>
          <w:b w:val="0"/>
          <w:i/>
          <w:color w:val="2C3E50"/>
          <w:sz w:val="22"/>
        </w:rPr>
        <w:t>R. VPS, Docker Compose, Caddy TLS, domaine lexhub.space. Déploiement via images GHCR.</w:t>
      </w:r>
    </w:p>
    <w:p>
      <w:pPr>
        <w:spacing w:after="120" w:before="0"/>
      </w:pPr>
      <w:r>
        <w:rPr>
          <w:rFonts w:ascii="Calibri" w:hAnsi="Calibri" w:eastAsia="Calibri"/>
          <w:b/>
          <w:i w:val="0"/>
          <w:sz w:val="22"/>
        </w:rPr>
        <w:t>Q. Comment l’API empêche un cabinet de voir un autre ?</w:t>
      </w:r>
    </w:p>
    <w:p>
      <w:pPr>
        <w:spacing w:after="160"/>
        <w:ind w:left="283"/>
      </w:pPr>
      <w:r>
        <w:rPr>
          <w:rFonts w:ascii="Calibri" w:hAnsi="Calibri" w:eastAsia="Calibri"/>
          <w:b w:val="0"/>
          <w:i/>
          <w:color w:val="2C3E50"/>
          <w:sz w:val="22"/>
        </w:rPr>
        <w:t>R. Chaque entité métier a un cabinet_id. Après auth JWT, toutes les requêtes sont filtrées sur ce cabinet. Pas d’accès direct navigateur → base.</w:t>
      </w:r>
    </w:p>
    <w:p>
      <w:pPr>
        <w:spacing w:after="120" w:before="0"/>
      </w:pPr>
      <w:r>
        <w:rPr>
          <w:rFonts w:ascii="Calibri" w:hAnsi="Calibri" w:eastAsia="Calibri"/>
          <w:b/>
          <w:i w:val="0"/>
          <w:sz w:val="22"/>
        </w:rPr>
        <w:t>Q. Qu’est-ce qui est livré concrètement ?</w:t>
      </w:r>
    </w:p>
    <w:p>
      <w:pPr>
        <w:spacing w:after="160"/>
        <w:ind w:left="283"/>
      </w:pPr>
      <w:r>
        <w:rPr>
          <w:rFonts w:ascii="Calibri" w:hAnsi="Calibri" w:eastAsia="Calibri"/>
          <w:b w:val="0"/>
          <w:i/>
          <w:color w:val="2C3E50"/>
          <w:sz w:val="22"/>
        </w:rPr>
        <w:t>R. Une plateforme en production : atelier dictée→Word, équipe, plans/crédits, admin plateforme, isolation et pseudonymisation déployées.</w:t>
      </w:r>
    </w:p>
    <w:p>
      <w:pPr>
        <w:spacing w:after="120" w:before="0"/>
      </w:pPr>
      <w:r>
        <w:rPr>
          <w:rFonts w:ascii="Calibri" w:hAnsi="Calibri" w:eastAsia="Calibri"/>
          <w:b/>
          <w:i w:val="0"/>
          <w:sz w:val="22"/>
        </w:rPr>
        <w:t>Q. Différence slide atelier et slide pipeline ?</w:t>
      </w:r>
    </w:p>
    <w:p>
      <w:pPr>
        <w:spacing w:after="160"/>
        <w:ind w:left="283"/>
      </w:pPr>
      <w:r>
        <w:rPr>
          <w:rFonts w:ascii="Calibri" w:hAnsi="Calibri" w:eastAsia="Calibri"/>
          <w:b w:val="0"/>
          <w:i/>
          <w:color w:val="2C3E50"/>
          <w:sz w:val="22"/>
        </w:rPr>
        <w:t>R. Atelier = ce que l’avocat voit dans l’UI. Pipeline = qui fait quoi (avocat / tech / livrable). Architecture = tuyaux. Pseudonymisation = coulisse sécurité avant l’API.</w:t>
      </w:r>
    </w:p>
    <w:p>
      <w:pPr>
        <w:spacing w:after="120" w:before="0"/>
      </w:pPr>
      <w:r>
        <w:rPr>
          <w:rFonts w:ascii="Calibri" w:hAnsi="Calibri" w:eastAsia="Calibri"/>
          <w:b/>
          <w:i w:val="0"/>
          <w:sz w:val="22"/>
        </w:rPr>
        <w:t>Q. Loi 09-08 / conformité ?</w:t>
      </w:r>
    </w:p>
    <w:p>
      <w:pPr>
        <w:spacing w:after="160"/>
        <w:ind w:left="283"/>
      </w:pPr>
      <w:r>
        <w:rPr>
          <w:rFonts w:ascii="Calibri" w:hAnsi="Calibri" w:eastAsia="Calibri"/>
          <w:b w:val="0"/>
          <w:i/>
          <w:color w:val="2C3E50"/>
          <w:sz w:val="22"/>
        </w:rPr>
        <w:t>R. On minimise l’exposition : pas d’identités en clair vers le fournisseur IA quand le masquage réussit, données cabinet isolées, accès contrôlés. Ce n’est pas une certification juridique complète — c’est une conception alignée secret professionnel et minimisation.</w:t>
      </w:r>
    </w:p>
    <w:p>
      <w:pPr>
        <w:spacing w:after="120" w:before="0"/>
      </w:pPr>
      <w:r>
        <w:rPr>
          <w:rFonts w:ascii="Calibri" w:hAnsi="Calibri" w:eastAsia="Calibri"/>
          <w:b/>
          <w:i w:val="0"/>
          <w:sz w:val="22"/>
        </w:rPr>
        <w:t>Q. Que feriez-vous pour renforcer le masquage ?</w:t>
      </w:r>
    </w:p>
    <w:p>
      <w:pPr>
        <w:spacing w:after="160"/>
        <w:ind w:left="283"/>
      </w:pPr>
      <w:r>
        <w:rPr>
          <w:rFonts w:ascii="Calibri" w:hAnsi="Calibri" w:eastAsia="Calibri"/>
          <w:b w:val="0"/>
          <w:i/>
          <w:color w:val="2C3E50"/>
          <w:sz w:val="22"/>
        </w:rPr>
        <w:t>R. Ajouter une couche NER/DLP type Presidio, plus de types PII (adresses, IBAN…), et une alerte si donnée sensible suspecte non masquée avant l’appel LLM.</w:t>
      </w:r>
    </w:p>
    <w:p>
      <w:pPr>
        <w:pStyle w:val="Heading2"/>
      </w:pPr>
      <w:r>
        <w:rPr>
          <w:rFonts w:ascii="Calibri" w:hAnsi="Calibri" w:eastAsia="Calibri"/>
          <w:b/>
          <w:color w:val="1A3A5C"/>
          <w:sz w:val="26"/>
        </w:rPr>
        <w:t>Checklist 2 minutes avant</w:t>
      </w:r>
    </w:p>
    <w:p>
      <w:pPr>
        <w:spacing w:after="120" w:before="0"/>
      </w:pPr>
      <w:r>
        <w:rPr>
          <w:rFonts w:ascii="Calibri" w:hAnsi="Calibri" w:eastAsia="Calibri"/>
          <w:b w:val="0"/>
          <w:i w:val="0"/>
          <w:sz w:val="22"/>
        </w:rPr>
        <w:t>☐ PPT ouvert + mode présentateur</w:t>
      </w:r>
    </w:p>
    <w:p>
      <w:pPr>
        <w:spacing w:after="120" w:before="0"/>
      </w:pPr>
      <w:r>
        <w:rPr>
          <w:rFonts w:ascii="Calibri" w:hAnsi="Calibri" w:eastAsia="Calibri"/>
          <w:b w:val="0"/>
          <w:i w:val="0"/>
          <w:sz w:val="22"/>
        </w:rPr>
        <w:t>☐ lexhub.space prêt (compte démo connecté)</w:t>
      </w:r>
    </w:p>
    <w:p>
      <w:pPr>
        <w:spacing w:after="120" w:before="0"/>
      </w:pPr>
      <w:r>
        <w:rPr>
          <w:rFonts w:ascii="Calibri" w:hAnsi="Calibri" w:eastAsia="Calibri"/>
          <w:b w:val="0"/>
          <w:i w:val="0"/>
          <w:sz w:val="22"/>
        </w:rPr>
        <w:t>☐ Kit démo fictif / audio sur le Bureau</w:t>
      </w:r>
    </w:p>
    <w:p>
      <w:pPr>
        <w:spacing w:after="120" w:before="0"/>
      </w:pPr>
      <w:r>
        <w:rPr>
          <w:rFonts w:ascii="Calibri" w:hAnsi="Calibri" w:eastAsia="Calibri"/>
          <w:b w:val="0"/>
          <w:i w:val="0"/>
          <w:sz w:val="22"/>
        </w:rPr>
        <w:t>☐ Ce DOCX ouvert ou imprimé (Partie A + C)</w:t>
      </w:r>
    </w:p>
    <w:p>
      <w:pPr>
        <w:spacing w:after="120" w:before="0"/>
      </w:pPr>
      <w:r>
        <w:rPr>
          <w:rFonts w:ascii="Calibri" w:hAnsi="Calibri" w:eastAsia="Calibri"/>
          <w:b w:val="0"/>
          <w:i w:val="0"/>
          <w:sz w:val="22"/>
        </w:rPr>
        <w:t>☐ Eau — respirer — commencer par le bonjour Slide 1</w:t>
      </w:r>
    </w:p>
    <w:p>
      <w:pPr>
        <w:spacing w:after="120" w:before="0"/>
      </w:pPr>
      <w:r>
        <w:rPr>
          <w:rFonts w:ascii="Calibri" w:hAnsi="Calibri" w:eastAsia="Calibri"/>
          <w:b/>
          <w:i w:val="0"/>
          <w:sz w:val="20"/>
        </w:rPr>
        <w:t>Fin du document — LexHub PFA ENSA Tétouan — WEBVOICE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