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228"/>
          <w:sz w:val="28"/>
        </w:rPr>
        <w:t>فواتير مستحقة — ليلى بنعمر ضد إحسان التازي</w:t>
      </w:r>
    </w:p>
    <w:p>
      <w:r>
        <w:rPr>
          <w:sz w:val="22"/>
        </w:rPr>
        <w:t>فاتورة رقم F-2024/210 بتاريخ 05 أكتوبر 2024 — مبلغ 82.450 درهم — أجل الأداء: 04 نونبر 2024.</w:t>
      </w:r>
    </w:p>
    <w:p>
      <w:r>
        <w:rPr>
          <w:sz w:val="22"/>
        </w:rPr>
        <w:t>فاتورة رقم F-2024/241 بتاريخ 02 نونبر 2024 — مبلغ 79.800 درهم — أجل الأداء: 02 دجنبر 2024.</w:t>
      </w:r>
    </w:p>
    <w:p>
      <w:r>
        <w:rPr>
          <w:sz w:val="22"/>
        </w:rPr>
        <w:t>فاتورة رقم F-2024/268 بتاريخ 28 نونبر 2024 — مبلغ 85.200 درهم — أجل الأداء: 28 دجنبر 2024.</w:t>
      </w:r>
    </w:p>
    <w:p>
      <w:r>
        <w:rPr>
          <w:sz w:val="22"/>
        </w:rPr>
        <w:t>المجموع غير المؤدى: مائتان وسبعة وأربعون ألفاً وأربعمائة وخمسون درهماً (247.450 درهم).</w:t>
      </w:r>
    </w:p>
    <w:p>
      <w:r>
        <w:rPr>
          <w:sz w:val="22"/>
        </w:rPr>
        <w:t>لم يسجل أي أداء جزئي بعد تاريخ 15 شتنبر 2024.</w:t>
      </w:r>
    </w:p>
    <w:p>
      <w:r>
        <w:rPr>
          <w:sz w:val="22"/>
        </w:rPr>
        <w:t>ملاحظة: وثائق اختبار LexHub.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