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228"/>
          <w:sz w:val="28"/>
        </w:rPr>
        <w:t>مقال افتتاحي — أداء دين تجاري وتعويض</w:t>
      </w:r>
    </w:p>
    <w:p>
      <w:r>
        <w:rPr>
          <w:sz w:val="22"/>
        </w:rPr>
        <w:t>المملكة المغربية</w:t>
      </w:r>
    </w:p>
    <w:p>
      <w:r>
        <w:rPr>
          <w:sz w:val="22"/>
        </w:rPr>
        <w:t>المحكمة التجارية بالدار البيضاء</w:t>
      </w:r>
    </w:p>
    <w:p>
      <w:r>
        <w:rPr>
          <w:sz w:val="22"/>
        </w:rPr>
        <w:t>ملف تجاري عدد: 2025/8201/1547 — رقم الرائج / RG: 2025/1547</w:t>
      </w:r>
    </w:p>
    <w:p>
      <w:r>
        <w:rPr>
          <w:sz w:val="22"/>
        </w:rPr>
        <w:t>الغرفة التجارية الأولى — كتابة الضبط: قسم القضايا التجارية</w:t>
      </w:r>
    </w:p>
    <w:p>
      <w:r>
        <w:rPr>
          <w:sz w:val="22"/>
        </w:rPr>
        <w:t>القاضي المقرر: ذ. كريم المنصوري</w:t>
      </w:r>
    </w:p>
    <w:p>
      <w:r>
        <w:rPr>
          <w:sz w:val="22"/>
        </w:rPr>
        <w:t>المدعية: ليلى بنعمر — ينوب عنها ذ. معاذ السنان</w:t>
      </w:r>
    </w:p>
    <w:p>
      <w:r>
        <w:rPr>
          <w:sz w:val="22"/>
        </w:rPr>
        <w:t>المدعى عليه: إحسان التازي</w:t>
      </w:r>
    </w:p>
    <w:p>
      <w:r>
        <w:rPr>
          <w:sz w:val="22"/>
        </w:rPr>
        <w:t>الموضوع: المطالبة بأداء دين تجاري مع التعويض والشرط الجزائي والنفاذ المعجل وتحميل الصائر</w:t>
      </w:r>
    </w:p>
    <w:p>
      <w:r>
        <w:rPr>
          <w:sz w:val="22"/>
        </w:rPr>
        <w:t>الوقائع: أبرم الطرفان عقد توريد CT-2024/088 بتاريخ 12/03/2024. استمرت التوريدات إلى نهاية نونبر 2024. توقف المدعى عليه عن الأداء رغم الإنذار الرسمي المبلغ بتاريخ 16/01/2025. الدين الثابت بالفواتير يبلغ 247.450 درهم.</w:t>
      </w:r>
    </w:p>
    <w:p>
      <w:r>
        <w:rPr>
          <w:sz w:val="22"/>
        </w:rPr>
        <w:t>الملتمسات: الحكم بأداء المبلغ الأصلي 247.450 درهم، والشرط الجزائي عن أشهر التأخير (تقديراً 25.000 درهم)، وتعويض عن الضرر التجاري قدره 15.000 درهم، مع النفاذ المعجل والصائر.</w:t>
      </w:r>
    </w:p>
    <w:p>
      <w:r>
        <w:rPr>
          <w:sz w:val="22"/>
        </w:rPr>
        <w:t>الأسانيد: قانون الالتزامات والعقود، مدونة التجارة، العقد والوثائق المحاسبية.</w:t>
      </w:r>
    </w:p>
    <w:p>
      <w:r>
        <w:rPr>
          <w:sz w:val="22"/>
        </w:rPr>
        <w:t>ملاحظة: وثيقة وهمية لاختبار LexHub.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