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228"/>
          <w:sz w:val="28"/>
        </w:rPr>
        <w:t>مقال افتتاحي — نفقة وحضانة (وثيقة اختبار)</w:t>
      </w:r>
    </w:p>
    <w:p>
      <w:r>
        <w:rPr>
          <w:sz w:val="22"/>
        </w:rPr>
        <w:t>المحكمة الابتدائية بالرباط — قسم قضاء الأسرة</w:t>
      </w:r>
    </w:p>
    <w:p>
      <w:r>
        <w:rPr>
          <w:sz w:val="22"/>
        </w:rPr>
        <w:t>ملف رقم: 2024/120</w:t>
      </w:r>
    </w:p>
    <w:p>
      <w:r>
        <w:rPr>
          <w:sz w:val="22"/>
        </w:rPr>
        <w:t>المدعية: فاطمة العلوي — ينوب عنها ذ. [محامي الاختبار]</w:t>
      </w:r>
    </w:p>
    <w:p>
      <w:r>
        <w:rPr>
          <w:sz w:val="22"/>
        </w:rPr>
        <w:t>المدعى عليه: كريم بناني</w:t>
      </w:r>
    </w:p>
    <w:p>
      <w:r>
        <w:rPr>
          <w:sz w:val="22"/>
        </w:rPr>
        <w:t>الموضوع: المطالبة بالنفقة والحضانة</w:t>
      </w:r>
    </w:p>
    <w:p>
      <w:r>
        <w:rPr>
          <w:sz w:val="22"/>
        </w:rPr>
        <w:t>الوقائع باختصار: انعقد الزواج بتاريخ 15/06/2020؛ رزق الطرفان بالابن يوسف (مواليد 20/01/2021). توقفت المدعى عليها عن تلقي النفقة منذ فاتح يناير 2024. تطلب المدعية الحكم بنفقة شهرية قدرها 2000 درهم مع النفاذ المعجل، وإسناد الحضانة إليها مراعاة لمصلحة المحضون، وتحميل المدعى عليه الصائر.</w:t>
      </w:r>
    </w:p>
    <w:p>
      <w:r>
        <w:rPr>
          <w:sz w:val="22"/>
        </w:rPr>
        <w:t>الأسانيد: مدونة الأسرة — أحكام النفقة والحضانة.</w:t>
      </w:r>
    </w:p>
    <w:p>
      <w:r>
        <w:rPr>
          <w:sz w:val="22"/>
        </w:rPr>
        <w:t>ملاحظة: وثيقة وهمية لاختبار LexHub.</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