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DD58BE" w14:textId="7A276216" w:rsidR="00277A29" w:rsidRDefault="00EA74C4" w:rsidP="006D2FBE">
      <w:r>
        <w:rPr>
          <w:noProof/>
        </w:rPr>
        <w:drawing>
          <wp:inline distT="0" distB="0" distL="0" distR="0" wp14:anchorId="53EAD662" wp14:editId="2118E677">
            <wp:extent cx="91440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924713" cy="92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A25041" w14:textId="77777777" w:rsidR="00277A29" w:rsidRPr="006D2FBE" w:rsidRDefault="006D2FBE">
      <w:pPr>
        <w:jc w:val="center"/>
        <w:rPr>
          <w:color w:val="0F243E" w:themeColor="text2" w:themeShade="80"/>
          <w:sz w:val="32"/>
          <w:szCs w:val="32"/>
          <w:lang w:val="fr-FR"/>
        </w:rPr>
      </w:pPr>
      <w:proofErr w:type="spellStart"/>
      <w:r w:rsidRPr="006D2FBE">
        <w:rPr>
          <w:rFonts w:ascii="Calibri" w:eastAsia="Calibri" w:hAnsi="Calibri"/>
          <w:b/>
          <w:color w:val="0F243E" w:themeColor="text2" w:themeShade="80"/>
          <w:sz w:val="48"/>
          <w:szCs w:val="32"/>
          <w:lang w:val="fr-FR"/>
        </w:rPr>
        <w:t>Lex</w:t>
      </w:r>
      <w:r w:rsidRPr="006D2FBE">
        <w:rPr>
          <w:rFonts w:ascii="Calibri" w:eastAsia="Calibri" w:hAnsi="Calibri"/>
          <w:b/>
          <w:color w:val="0F243E" w:themeColor="text2" w:themeShade="80"/>
          <w:sz w:val="48"/>
          <w:szCs w:val="32"/>
          <w:lang w:val="fr-FR"/>
        </w:rPr>
        <w:t>H</w:t>
      </w:r>
      <w:r w:rsidRPr="006D2FBE">
        <w:rPr>
          <w:rFonts w:ascii="Calibri" w:eastAsia="Calibri" w:hAnsi="Calibri"/>
          <w:b/>
          <w:color w:val="0F243E" w:themeColor="text2" w:themeShade="80"/>
          <w:sz w:val="48"/>
          <w:szCs w:val="32"/>
          <w:lang w:val="fr-FR"/>
        </w:rPr>
        <w:t>ub</w:t>
      </w:r>
      <w:proofErr w:type="spellEnd"/>
      <w:r w:rsidRPr="006D2FBE">
        <w:rPr>
          <w:rFonts w:ascii="Calibri" w:eastAsia="Calibri" w:hAnsi="Calibri"/>
          <w:b/>
          <w:color w:val="0F243E" w:themeColor="text2" w:themeShade="80"/>
          <w:sz w:val="48"/>
          <w:szCs w:val="32"/>
          <w:lang w:val="fr-FR"/>
        </w:rPr>
        <w:t xml:space="preserve"> — Plan de croissance &amp; rentabilité</w:t>
      </w:r>
    </w:p>
    <w:p w14:paraId="07EDC8A6" w14:textId="77777777" w:rsidR="00277A29" w:rsidRPr="00EA74C4" w:rsidRDefault="006D2FBE">
      <w:pPr>
        <w:jc w:val="center"/>
        <w:rPr>
          <w:lang w:val="fr-FR"/>
        </w:rPr>
      </w:pPr>
      <w:r w:rsidRPr="00EA74C4">
        <w:rPr>
          <w:rFonts w:ascii="Calibri" w:eastAsia="Calibri" w:hAnsi="Calibri"/>
          <w:i/>
          <w:color w:val="4A5568"/>
          <w:lang w:val="fr-FR"/>
        </w:rPr>
        <w:t>État réel de la production déployée sur https://lexhub.space</w:t>
      </w:r>
    </w:p>
    <w:p w14:paraId="48374585" w14:textId="672257AF" w:rsidR="00277A29" w:rsidRPr="00EA74C4" w:rsidRDefault="006D2FBE">
      <w:pPr>
        <w:jc w:val="center"/>
        <w:rPr>
          <w:lang w:val="fr-FR"/>
        </w:rPr>
      </w:pPr>
      <w:r w:rsidRPr="00EA74C4">
        <w:rPr>
          <w:rFonts w:ascii="Calibri" w:eastAsia="Calibri" w:hAnsi="Calibri"/>
          <w:color w:val="C9A84A"/>
          <w:sz w:val="20"/>
          <w:lang w:val="fr-FR"/>
        </w:rPr>
        <w:t>Tarifs · essais · quotas · usage à la demande · parrainage — déjà en place ·</w:t>
      </w:r>
    </w:p>
    <w:p w14:paraId="0B72E885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i/>
          <w:color w:val="4A5568"/>
          <w:sz w:val="20"/>
          <w:lang w:val="fr-FR"/>
        </w:rPr>
        <w:t xml:space="preserve">Ce document décrit ce qui tourne </w:t>
      </w:r>
      <w:r w:rsidRPr="00EA74C4">
        <w:rPr>
          <w:rFonts w:ascii="Calibri" w:eastAsia="Calibri" w:hAnsi="Calibri"/>
          <w:i/>
          <w:color w:val="4A5568"/>
          <w:sz w:val="20"/>
          <w:lang w:val="fr-FR"/>
        </w:rPr>
        <w:t>aujourd’hui en production. Ce n’est pas une feuille de route : abonnements, quotas, usage à la demande et parrainage sont déjà implémentés dans le backend (billing.py, referral.py) et visibles dans l’interface (Paramètres → Plan &amp; usage, landing, inscripti</w:t>
      </w:r>
      <w:r w:rsidRPr="00EA74C4">
        <w:rPr>
          <w:rFonts w:ascii="Calibri" w:eastAsia="Calibri" w:hAnsi="Calibri"/>
          <w:i/>
          <w:color w:val="4A5568"/>
          <w:sz w:val="20"/>
          <w:lang w:val="fr-FR"/>
        </w:rPr>
        <w:t xml:space="preserve">on). Chaque chiffre et chaque règle ci-dessous peut être vérifié sur </w:t>
      </w:r>
      <w:proofErr w:type="spellStart"/>
      <w:proofErr w:type="gramStart"/>
      <w:r w:rsidRPr="00EA74C4">
        <w:rPr>
          <w:rFonts w:ascii="Calibri" w:eastAsia="Calibri" w:hAnsi="Calibri"/>
          <w:i/>
          <w:color w:val="4A5568"/>
          <w:sz w:val="20"/>
          <w:lang w:val="fr-FR"/>
        </w:rPr>
        <w:t>lexhub.space</w:t>
      </w:r>
      <w:proofErr w:type="spellEnd"/>
      <w:proofErr w:type="gramEnd"/>
      <w:r w:rsidRPr="00EA74C4">
        <w:rPr>
          <w:rFonts w:ascii="Calibri" w:eastAsia="Calibri" w:hAnsi="Calibri"/>
          <w:i/>
          <w:color w:val="4A5568"/>
          <w:sz w:val="20"/>
          <w:lang w:val="fr-FR"/>
        </w:rPr>
        <w:t>.</w:t>
      </w:r>
    </w:p>
    <w:p w14:paraId="524EEAB1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 xml:space="preserve">1. Ce que </w:t>
      </w:r>
      <w:proofErr w:type="spellStart"/>
      <w:r w:rsidRPr="00EA74C4">
        <w:rPr>
          <w:color w:val="0A1228"/>
          <w:lang w:val="fr-FR"/>
        </w:rPr>
        <w:t>LexHub</w:t>
      </w:r>
      <w:proofErr w:type="spellEnd"/>
      <w:r w:rsidRPr="00EA74C4">
        <w:rPr>
          <w:color w:val="0A1228"/>
          <w:lang w:val="fr-FR"/>
        </w:rPr>
        <w:t xml:space="preserve"> monétise déjà</w:t>
      </w:r>
    </w:p>
    <w:p w14:paraId="388E60DE" w14:textId="77777777" w:rsidR="00277A29" w:rsidRPr="00EA74C4" w:rsidRDefault="006D2FBE">
      <w:pPr>
        <w:spacing w:after="120" w:line="240" w:lineRule="auto"/>
        <w:rPr>
          <w:lang w:val="fr-FR"/>
        </w:rPr>
      </w:pPr>
      <w:proofErr w:type="spellStart"/>
      <w:r w:rsidRPr="00EA74C4">
        <w:rPr>
          <w:rFonts w:ascii="Calibri" w:eastAsia="Calibri" w:hAnsi="Calibri"/>
          <w:sz w:val="20"/>
          <w:lang w:val="fr-FR"/>
        </w:rPr>
        <w:t>LexHub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est un SaaS multi-tenant pour cabinets d’avocats au Maroc : dictée → plaidoirie (arabe juridique), dossiers, pièces, planning, équipe. </w:t>
      </w:r>
      <w:r w:rsidRPr="00EA74C4">
        <w:rPr>
          <w:rFonts w:ascii="Calibri" w:eastAsia="Calibri" w:hAnsi="Calibri"/>
          <w:sz w:val="20"/>
          <w:lang w:val="fr-FR"/>
        </w:rPr>
        <w:t xml:space="preserve">Le revenu vient des abonnements payants (Solo, Cabinet, Entreprise). L’acquisition repose sur le </w:t>
      </w:r>
      <w:proofErr w:type="gramStart"/>
      <w:r w:rsidRPr="00EA74C4">
        <w:rPr>
          <w:rFonts w:ascii="Calibri" w:eastAsia="Calibri" w:hAnsi="Calibri"/>
          <w:sz w:val="20"/>
          <w:lang w:val="fr-FR"/>
        </w:rPr>
        <w:t>freemium</w:t>
      </w:r>
      <w:proofErr w:type="gramEnd"/>
      <w:r w:rsidRPr="00EA74C4">
        <w:rPr>
          <w:rFonts w:ascii="Calibri" w:eastAsia="Calibri" w:hAnsi="Calibri"/>
          <w:sz w:val="20"/>
          <w:lang w:val="fr-FR"/>
        </w:rPr>
        <w:t xml:space="preserve"> Découverte, les essais carte, et le programme de parrainage cabinet → cabinet — déjà actif. La marge est protégée par des quotas mensuels / journalier</w:t>
      </w:r>
      <w:r w:rsidRPr="00EA74C4">
        <w:rPr>
          <w:rFonts w:ascii="Calibri" w:eastAsia="Calibri" w:hAnsi="Calibri"/>
          <w:sz w:val="20"/>
          <w:lang w:val="fr-FR"/>
        </w:rPr>
        <w:t>s et par l’usage à la demande (option admin, désactivée par défaut, jamais silencieuse).</w:t>
      </w:r>
    </w:p>
    <w:p w14:paraId="4926F2F3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Seul l’admin cabinet paie, change de plan, active l’usage à la demande et gère le code de parrainage.</w:t>
      </w:r>
    </w:p>
    <w:p w14:paraId="764326FF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Les avocats / assistants du même cabinet voient les quotas en lec</w:t>
      </w:r>
      <w:r w:rsidRPr="00EA74C4">
        <w:rPr>
          <w:rFonts w:ascii="Calibri" w:eastAsia="Calibri" w:hAnsi="Calibri"/>
          <w:sz w:val="20"/>
          <w:lang w:val="fr-FR"/>
        </w:rPr>
        <w:t>ture seule ; ils ne paient pas.</w:t>
      </w:r>
    </w:p>
    <w:p w14:paraId="093BF2DC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Interface FR / AR. Facturation affichée en MAD.</w:t>
      </w:r>
    </w:p>
    <w:p w14:paraId="5BE09CE4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>2. Grille tarifaire en production</w:t>
      </w:r>
    </w:p>
    <w:p w14:paraId="52EFAECB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Les quatre plans suivants sont ceux servis par l’API /api/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/plans et affichés sur /tarifs. Ils sont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seedés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/ synchronisés au démarrage d</w:t>
      </w:r>
      <w:r w:rsidRPr="00EA74C4">
        <w:rPr>
          <w:rFonts w:ascii="Calibri" w:eastAsia="Calibri" w:hAnsi="Calibri"/>
          <w:sz w:val="20"/>
          <w:lang w:val="fr-FR"/>
        </w:rPr>
        <w:t>u backend (DEFAULT_PLANS).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277A29" w14:paraId="1339B706" w14:textId="77777777">
        <w:tc>
          <w:tcPr>
            <w:tcW w:w="1425" w:type="dxa"/>
            <w:shd w:val="clear" w:color="auto" w:fill="0A1228"/>
          </w:tcPr>
          <w:p w14:paraId="50118507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425" w:type="dxa"/>
            <w:shd w:val="clear" w:color="auto" w:fill="0A1228"/>
          </w:tcPr>
          <w:p w14:paraId="4B292ADE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Mensuel</w:t>
            </w:r>
          </w:p>
        </w:tc>
        <w:tc>
          <w:tcPr>
            <w:tcW w:w="1425" w:type="dxa"/>
            <w:shd w:val="clear" w:color="auto" w:fill="0A1228"/>
          </w:tcPr>
          <w:p w14:paraId="055E71E0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Annuel</w:t>
            </w:r>
          </w:p>
        </w:tc>
        <w:tc>
          <w:tcPr>
            <w:tcW w:w="1425" w:type="dxa"/>
            <w:shd w:val="clear" w:color="auto" w:fill="0A1228"/>
          </w:tcPr>
          <w:p w14:paraId="13434F15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Essai carte</w:t>
            </w:r>
          </w:p>
        </w:tc>
        <w:tc>
          <w:tcPr>
            <w:tcW w:w="1425" w:type="dxa"/>
            <w:shd w:val="clear" w:color="auto" w:fill="0A1228"/>
          </w:tcPr>
          <w:p w14:paraId="183D8EA8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Sièges</w:t>
            </w:r>
          </w:p>
        </w:tc>
        <w:tc>
          <w:tcPr>
            <w:tcW w:w="1425" w:type="dxa"/>
            <w:shd w:val="clear" w:color="auto" w:fill="0A1228"/>
          </w:tcPr>
          <w:p w14:paraId="0C967516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Plaidoiries / mois</w:t>
            </w:r>
          </w:p>
        </w:tc>
        <w:tc>
          <w:tcPr>
            <w:tcW w:w="1425" w:type="dxa"/>
            <w:shd w:val="clear" w:color="auto" w:fill="0A1228"/>
          </w:tcPr>
          <w:p w14:paraId="03168D5C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Crédits IA / mois</w:t>
            </w:r>
          </w:p>
        </w:tc>
      </w:tr>
      <w:tr w:rsidR="00277A29" w14:paraId="551A2075" w14:textId="77777777">
        <w:tc>
          <w:tcPr>
            <w:tcW w:w="1425" w:type="dxa"/>
          </w:tcPr>
          <w:p w14:paraId="282F284A" w14:textId="77777777" w:rsidR="00277A29" w:rsidRDefault="006D2FBE">
            <w:r>
              <w:rPr>
                <w:rFonts w:ascii="Calibri" w:eastAsia="Calibri" w:hAnsi="Calibri"/>
                <w:sz w:val="18"/>
              </w:rPr>
              <w:t>Découverte (free)</w:t>
            </w:r>
          </w:p>
        </w:tc>
        <w:tc>
          <w:tcPr>
            <w:tcW w:w="1425" w:type="dxa"/>
          </w:tcPr>
          <w:p w14:paraId="342977D3" w14:textId="77777777" w:rsidR="00277A29" w:rsidRDefault="006D2FBE">
            <w:r>
              <w:rPr>
                <w:rFonts w:ascii="Calibri" w:eastAsia="Calibri" w:hAnsi="Calibri"/>
                <w:sz w:val="18"/>
              </w:rPr>
              <w:t>0 MAD</w:t>
            </w:r>
          </w:p>
        </w:tc>
        <w:tc>
          <w:tcPr>
            <w:tcW w:w="1425" w:type="dxa"/>
          </w:tcPr>
          <w:p w14:paraId="35E6A46F" w14:textId="77777777" w:rsidR="00277A29" w:rsidRDefault="006D2FBE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425" w:type="dxa"/>
          </w:tcPr>
          <w:p w14:paraId="6C3EF470" w14:textId="77777777" w:rsidR="00277A29" w:rsidRDefault="006D2FBE">
            <w:r>
              <w:rPr>
                <w:rFonts w:ascii="Calibri" w:eastAsia="Calibri" w:hAnsi="Calibri"/>
                <w:sz w:val="18"/>
              </w:rPr>
              <w:t>aucun</w:t>
            </w:r>
          </w:p>
        </w:tc>
        <w:tc>
          <w:tcPr>
            <w:tcW w:w="1425" w:type="dxa"/>
          </w:tcPr>
          <w:p w14:paraId="46345CC8" w14:textId="77777777" w:rsidR="00277A29" w:rsidRDefault="006D2FBE">
            <w:r>
              <w:rPr>
                <w:rFonts w:ascii="Calibri" w:eastAsia="Calibri" w:hAnsi="Calibri"/>
                <w:sz w:val="18"/>
              </w:rPr>
              <w:t>1 avocat · 0 assistant</w:t>
            </w:r>
          </w:p>
        </w:tc>
        <w:tc>
          <w:tcPr>
            <w:tcW w:w="1425" w:type="dxa"/>
          </w:tcPr>
          <w:p w14:paraId="61D8344E" w14:textId="77777777" w:rsidR="00277A29" w:rsidRDefault="006D2FBE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425" w:type="dxa"/>
          </w:tcPr>
          <w:p w14:paraId="3E5B7166" w14:textId="77777777" w:rsidR="00277A29" w:rsidRDefault="006D2FBE">
            <w:r>
              <w:rPr>
                <w:rFonts w:ascii="Calibri" w:eastAsia="Calibri" w:hAnsi="Calibri"/>
                <w:sz w:val="18"/>
              </w:rPr>
              <w:t>50</w:t>
            </w:r>
          </w:p>
        </w:tc>
      </w:tr>
      <w:tr w:rsidR="00277A29" w14:paraId="6009DFD4" w14:textId="77777777">
        <w:tc>
          <w:tcPr>
            <w:tcW w:w="1425" w:type="dxa"/>
            <w:shd w:val="clear" w:color="auto" w:fill="EEF1F8"/>
          </w:tcPr>
          <w:p w14:paraId="665C1081" w14:textId="77777777" w:rsidR="00277A29" w:rsidRDefault="006D2FB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425" w:type="dxa"/>
            <w:shd w:val="clear" w:color="auto" w:fill="EEF1F8"/>
          </w:tcPr>
          <w:p w14:paraId="74F20332" w14:textId="77777777" w:rsidR="00277A29" w:rsidRDefault="006D2FBE">
            <w:r>
              <w:rPr>
                <w:rFonts w:ascii="Calibri" w:eastAsia="Calibri" w:hAnsi="Calibri"/>
                <w:sz w:val="18"/>
              </w:rPr>
              <w:t>299 MAD</w:t>
            </w:r>
          </w:p>
        </w:tc>
        <w:tc>
          <w:tcPr>
            <w:tcW w:w="1425" w:type="dxa"/>
            <w:shd w:val="clear" w:color="auto" w:fill="EEF1F8"/>
          </w:tcPr>
          <w:p w14:paraId="0371894F" w14:textId="77777777" w:rsidR="00277A29" w:rsidRDefault="006D2FBE">
            <w:r>
              <w:rPr>
                <w:rFonts w:ascii="Calibri" w:eastAsia="Calibri" w:hAnsi="Calibri"/>
                <w:sz w:val="18"/>
              </w:rPr>
              <w:t>2 990 MAD</w:t>
            </w:r>
          </w:p>
        </w:tc>
        <w:tc>
          <w:tcPr>
            <w:tcW w:w="1425" w:type="dxa"/>
            <w:shd w:val="clear" w:color="auto" w:fill="EEF1F8"/>
          </w:tcPr>
          <w:p w14:paraId="35AD3DCB" w14:textId="77777777" w:rsidR="00277A29" w:rsidRDefault="006D2FBE">
            <w:r>
              <w:rPr>
                <w:rFonts w:ascii="Calibri" w:eastAsia="Calibri" w:hAnsi="Calibri"/>
                <w:sz w:val="18"/>
              </w:rPr>
              <w:t>14 jours</w:t>
            </w:r>
          </w:p>
        </w:tc>
        <w:tc>
          <w:tcPr>
            <w:tcW w:w="1425" w:type="dxa"/>
            <w:shd w:val="clear" w:color="auto" w:fill="EEF1F8"/>
          </w:tcPr>
          <w:p w14:paraId="52286106" w14:textId="77777777" w:rsidR="00277A29" w:rsidRDefault="006D2FBE">
            <w:r>
              <w:rPr>
                <w:rFonts w:ascii="Calibri" w:eastAsia="Calibri" w:hAnsi="Calibri"/>
                <w:sz w:val="18"/>
              </w:rPr>
              <w:t>1 avocat + 1 assistant</w:t>
            </w:r>
          </w:p>
        </w:tc>
        <w:tc>
          <w:tcPr>
            <w:tcW w:w="1425" w:type="dxa"/>
            <w:shd w:val="clear" w:color="auto" w:fill="EEF1F8"/>
          </w:tcPr>
          <w:p w14:paraId="721EF992" w14:textId="77777777" w:rsidR="00277A29" w:rsidRDefault="006D2FBE">
            <w:r>
              <w:rPr>
                <w:rFonts w:ascii="Calibri" w:eastAsia="Calibri" w:hAnsi="Calibri"/>
                <w:sz w:val="18"/>
              </w:rPr>
              <w:t>35</w:t>
            </w:r>
          </w:p>
        </w:tc>
        <w:tc>
          <w:tcPr>
            <w:tcW w:w="1425" w:type="dxa"/>
            <w:shd w:val="clear" w:color="auto" w:fill="EEF1F8"/>
          </w:tcPr>
          <w:p w14:paraId="29594070" w14:textId="77777777" w:rsidR="00277A29" w:rsidRDefault="006D2FBE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277A29" w14:paraId="5F1A11F1" w14:textId="77777777">
        <w:tc>
          <w:tcPr>
            <w:tcW w:w="1425" w:type="dxa"/>
          </w:tcPr>
          <w:p w14:paraId="75DCAB5E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Cabinet </w:t>
            </w:r>
            <w:r>
              <w:rPr>
                <w:rFonts w:ascii="Calibri" w:eastAsia="Calibri" w:hAnsi="Calibri"/>
                <w:sz w:val="18"/>
              </w:rPr>
              <w:t>(recommandé)</w:t>
            </w:r>
          </w:p>
        </w:tc>
        <w:tc>
          <w:tcPr>
            <w:tcW w:w="1425" w:type="dxa"/>
          </w:tcPr>
          <w:p w14:paraId="2DA72FCF" w14:textId="77777777" w:rsidR="00277A29" w:rsidRDefault="006D2FBE">
            <w:r>
              <w:rPr>
                <w:rFonts w:ascii="Calibri" w:eastAsia="Calibri" w:hAnsi="Calibri"/>
                <w:sz w:val="18"/>
              </w:rPr>
              <w:t>699 MAD</w:t>
            </w:r>
          </w:p>
        </w:tc>
        <w:tc>
          <w:tcPr>
            <w:tcW w:w="1425" w:type="dxa"/>
          </w:tcPr>
          <w:p w14:paraId="01E1D904" w14:textId="77777777" w:rsidR="00277A29" w:rsidRDefault="006D2FBE">
            <w:r>
              <w:rPr>
                <w:rFonts w:ascii="Calibri" w:eastAsia="Calibri" w:hAnsi="Calibri"/>
                <w:sz w:val="18"/>
              </w:rPr>
              <w:t>6 990 MAD</w:t>
            </w:r>
          </w:p>
        </w:tc>
        <w:tc>
          <w:tcPr>
            <w:tcW w:w="1425" w:type="dxa"/>
          </w:tcPr>
          <w:p w14:paraId="504F2680" w14:textId="77777777" w:rsidR="00277A29" w:rsidRDefault="006D2FBE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25" w:type="dxa"/>
          </w:tcPr>
          <w:p w14:paraId="0784D140" w14:textId="77777777" w:rsidR="00277A29" w:rsidRDefault="006D2FBE">
            <w:r>
              <w:rPr>
                <w:rFonts w:ascii="Calibri" w:eastAsia="Calibri" w:hAnsi="Calibri"/>
                <w:sz w:val="18"/>
              </w:rPr>
              <w:t>5 avocats + 3 assistants</w:t>
            </w:r>
          </w:p>
        </w:tc>
        <w:tc>
          <w:tcPr>
            <w:tcW w:w="1425" w:type="dxa"/>
          </w:tcPr>
          <w:p w14:paraId="0D5C3914" w14:textId="77777777" w:rsidR="00277A29" w:rsidRDefault="006D2FBE">
            <w:r>
              <w:rPr>
                <w:rFonts w:ascii="Calibri" w:eastAsia="Calibri" w:hAnsi="Calibri"/>
                <w:sz w:val="18"/>
              </w:rPr>
              <w:t>120</w:t>
            </w:r>
          </w:p>
        </w:tc>
        <w:tc>
          <w:tcPr>
            <w:tcW w:w="1425" w:type="dxa"/>
          </w:tcPr>
          <w:p w14:paraId="260669EB" w14:textId="77777777" w:rsidR="00277A29" w:rsidRDefault="006D2FBE">
            <w:r>
              <w:rPr>
                <w:rFonts w:ascii="Calibri" w:eastAsia="Calibri" w:hAnsi="Calibri"/>
                <w:sz w:val="18"/>
              </w:rPr>
              <w:t>2 000</w:t>
            </w:r>
          </w:p>
        </w:tc>
      </w:tr>
      <w:tr w:rsidR="00277A29" w14:paraId="2E67F63D" w14:textId="77777777">
        <w:tc>
          <w:tcPr>
            <w:tcW w:w="1425" w:type="dxa"/>
            <w:shd w:val="clear" w:color="auto" w:fill="EEF1F8"/>
          </w:tcPr>
          <w:p w14:paraId="062F45E3" w14:textId="77777777" w:rsidR="00277A29" w:rsidRDefault="006D2FBE">
            <w:r>
              <w:rPr>
                <w:rFonts w:ascii="Calibri" w:eastAsia="Calibri" w:hAnsi="Calibri"/>
                <w:sz w:val="18"/>
              </w:rPr>
              <w:t>Entreprise</w:t>
            </w:r>
          </w:p>
        </w:tc>
        <w:tc>
          <w:tcPr>
            <w:tcW w:w="1425" w:type="dxa"/>
            <w:shd w:val="clear" w:color="auto" w:fill="EEF1F8"/>
          </w:tcPr>
          <w:p w14:paraId="5E98C831" w14:textId="77777777" w:rsidR="00277A29" w:rsidRDefault="006D2FBE">
            <w:r>
              <w:rPr>
                <w:rFonts w:ascii="Calibri" w:eastAsia="Calibri" w:hAnsi="Calibri"/>
                <w:sz w:val="18"/>
              </w:rPr>
              <w:t>1 290 MAD</w:t>
            </w:r>
          </w:p>
        </w:tc>
        <w:tc>
          <w:tcPr>
            <w:tcW w:w="1425" w:type="dxa"/>
            <w:shd w:val="clear" w:color="auto" w:fill="EEF1F8"/>
          </w:tcPr>
          <w:p w14:paraId="2644D885" w14:textId="77777777" w:rsidR="00277A29" w:rsidRDefault="006D2FBE">
            <w:r>
              <w:rPr>
                <w:rFonts w:ascii="Calibri" w:eastAsia="Calibri" w:hAnsi="Calibri"/>
                <w:sz w:val="18"/>
              </w:rPr>
              <w:t>12 900 MAD</w:t>
            </w:r>
          </w:p>
        </w:tc>
        <w:tc>
          <w:tcPr>
            <w:tcW w:w="1425" w:type="dxa"/>
            <w:shd w:val="clear" w:color="auto" w:fill="EEF1F8"/>
          </w:tcPr>
          <w:p w14:paraId="3A331C31" w14:textId="77777777" w:rsidR="00277A29" w:rsidRDefault="006D2FBE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25" w:type="dxa"/>
            <w:shd w:val="clear" w:color="auto" w:fill="EEF1F8"/>
          </w:tcPr>
          <w:p w14:paraId="55CD4E47" w14:textId="77777777" w:rsidR="00277A29" w:rsidRDefault="006D2FBE">
            <w:r>
              <w:rPr>
                <w:rFonts w:ascii="Calibri" w:eastAsia="Calibri" w:hAnsi="Calibri"/>
                <w:sz w:val="18"/>
              </w:rPr>
              <w:t>15 avocats + 10 assistants</w:t>
            </w:r>
          </w:p>
        </w:tc>
        <w:tc>
          <w:tcPr>
            <w:tcW w:w="1425" w:type="dxa"/>
            <w:shd w:val="clear" w:color="auto" w:fill="EEF1F8"/>
          </w:tcPr>
          <w:p w14:paraId="4040E8C3" w14:textId="77777777" w:rsidR="00277A29" w:rsidRDefault="006D2FBE">
            <w:r>
              <w:rPr>
                <w:rFonts w:ascii="Calibri" w:eastAsia="Calibri" w:hAnsi="Calibri"/>
                <w:sz w:val="18"/>
              </w:rPr>
              <w:t>350</w:t>
            </w:r>
          </w:p>
        </w:tc>
        <w:tc>
          <w:tcPr>
            <w:tcW w:w="1425" w:type="dxa"/>
            <w:shd w:val="clear" w:color="auto" w:fill="EEF1F8"/>
          </w:tcPr>
          <w:p w14:paraId="152E5B0E" w14:textId="77777777" w:rsidR="00277A29" w:rsidRDefault="006D2FBE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655E46F1" w14:textId="77777777" w:rsidR="00277A29" w:rsidRDefault="00277A29"/>
    <w:p w14:paraId="6CD48203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Annuel ≈ 10 mois payés pour 12 mois (réduction structurelle déjà codée dans les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prix_yearly</w:t>
      </w:r>
      <w:proofErr w:type="spellEnd"/>
      <w:r w:rsidRPr="00EA74C4">
        <w:rPr>
          <w:rFonts w:ascii="Calibri" w:eastAsia="Calibri" w:hAnsi="Calibri"/>
          <w:sz w:val="20"/>
          <w:lang w:val="fr-FR"/>
        </w:rPr>
        <w:t>). À partir de Solo : export PDF, logo cabinet, invitations d’équipe. Cabinet / Entreprise : IA premium renforcée (dont clé de barre / analyses plus larges). Dossiers : limités à 5 sur Découverte ; illimités dès Solo.</w:t>
      </w:r>
    </w:p>
    <w:p w14:paraId="2F8C8D99" w14:textId="77777777" w:rsidR="00277A29" w:rsidRPr="00EA74C4" w:rsidRDefault="006D2FBE">
      <w:pPr>
        <w:pStyle w:val="Heading2"/>
        <w:rPr>
          <w:lang w:val="fr-FR"/>
        </w:rPr>
      </w:pPr>
      <w:r w:rsidRPr="00EA74C4">
        <w:rPr>
          <w:color w:val="0A1228"/>
          <w:lang w:val="fr-FR"/>
        </w:rPr>
        <w:lastRenderedPageBreak/>
        <w:t>2.1 Quotas IA déjà appliqué</w:t>
      </w:r>
      <w:r w:rsidRPr="00EA74C4">
        <w:rPr>
          <w:color w:val="0A1228"/>
          <w:lang w:val="fr-FR"/>
        </w:rPr>
        <w:t>s à chaque action</w:t>
      </w:r>
    </w:p>
    <w:p w14:paraId="3E20FEA0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Chaque action IA consomme des crédits (AI_ACTION_CREDITS). En parallèle, certaines actions ont un plafond d’occurrences / mois (AI_MONTHLY_LIMITS). Les deux garde-fous s’appliquent ensemble : il faut assez de crédits ET ne pas dépasser le</w:t>
      </w:r>
      <w:r w:rsidRPr="00EA74C4">
        <w:rPr>
          <w:rFonts w:ascii="Calibri" w:eastAsia="Calibri" w:hAnsi="Calibri"/>
          <w:sz w:val="20"/>
          <w:lang w:val="fr-FR"/>
        </w:rPr>
        <w:t xml:space="preserve"> compteur d’action.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77A29" w14:paraId="0894BE01" w14:textId="77777777">
        <w:tc>
          <w:tcPr>
            <w:tcW w:w="1662" w:type="dxa"/>
            <w:shd w:val="clear" w:color="auto" w:fill="0A1228"/>
          </w:tcPr>
          <w:p w14:paraId="12D50403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Action dans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l’app</w:t>
            </w:r>
            <w:proofErr w:type="spellEnd"/>
          </w:p>
        </w:tc>
        <w:tc>
          <w:tcPr>
            <w:tcW w:w="1662" w:type="dxa"/>
            <w:shd w:val="clear" w:color="auto" w:fill="0A1228"/>
          </w:tcPr>
          <w:p w14:paraId="1107B04C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Coût en crédits</w:t>
            </w:r>
          </w:p>
        </w:tc>
        <w:tc>
          <w:tcPr>
            <w:tcW w:w="1662" w:type="dxa"/>
            <w:shd w:val="clear" w:color="auto" w:fill="0A1228"/>
          </w:tcPr>
          <w:p w14:paraId="6F0318D7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Max / mois Découverte</w:t>
            </w:r>
          </w:p>
        </w:tc>
        <w:tc>
          <w:tcPr>
            <w:tcW w:w="1662" w:type="dxa"/>
            <w:shd w:val="clear" w:color="auto" w:fill="0A1228"/>
          </w:tcPr>
          <w:p w14:paraId="64DCEA03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Solo</w:t>
            </w:r>
          </w:p>
        </w:tc>
        <w:tc>
          <w:tcPr>
            <w:tcW w:w="1662" w:type="dxa"/>
            <w:shd w:val="clear" w:color="auto" w:fill="0A1228"/>
          </w:tcPr>
          <w:p w14:paraId="0A0A6350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Cabinet</w:t>
            </w:r>
          </w:p>
        </w:tc>
        <w:tc>
          <w:tcPr>
            <w:tcW w:w="1662" w:type="dxa"/>
            <w:shd w:val="clear" w:color="auto" w:fill="0A1228"/>
          </w:tcPr>
          <w:p w14:paraId="4B90AEF5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Entreprise</w:t>
            </w:r>
          </w:p>
        </w:tc>
      </w:tr>
      <w:tr w:rsidR="00277A29" w14:paraId="62477032" w14:textId="77777777">
        <w:tc>
          <w:tcPr>
            <w:tcW w:w="1662" w:type="dxa"/>
          </w:tcPr>
          <w:p w14:paraId="4D49ED67" w14:textId="77777777" w:rsidR="00277A29" w:rsidRDefault="006D2FBE">
            <w:r>
              <w:rPr>
                <w:rFonts w:ascii="Calibri" w:eastAsia="Calibri" w:hAnsi="Calibri"/>
                <w:sz w:val="18"/>
              </w:rPr>
              <w:t>Rédaction plaidoirie (compose)</w:t>
            </w:r>
          </w:p>
        </w:tc>
        <w:tc>
          <w:tcPr>
            <w:tcW w:w="1662" w:type="dxa"/>
          </w:tcPr>
          <w:p w14:paraId="2825555F" w14:textId="77777777" w:rsidR="00277A29" w:rsidRDefault="006D2FB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</w:tcPr>
          <w:p w14:paraId="3B48E5E5" w14:textId="77777777" w:rsidR="00277A29" w:rsidRDefault="006D2FBE">
            <w:r>
              <w:rPr>
                <w:rFonts w:ascii="Calibri" w:eastAsia="Calibri" w:hAnsi="Calibri"/>
                <w:sz w:val="18"/>
              </w:rPr>
              <w:t>3 plaidoiries*</w:t>
            </w:r>
          </w:p>
        </w:tc>
        <w:tc>
          <w:tcPr>
            <w:tcW w:w="1662" w:type="dxa"/>
          </w:tcPr>
          <w:p w14:paraId="76A8477F" w14:textId="77777777" w:rsidR="00277A29" w:rsidRDefault="006D2FBE">
            <w:r>
              <w:rPr>
                <w:rFonts w:ascii="Calibri" w:eastAsia="Calibri" w:hAnsi="Calibri"/>
                <w:sz w:val="18"/>
              </w:rPr>
              <w:t>35*</w:t>
            </w:r>
          </w:p>
        </w:tc>
        <w:tc>
          <w:tcPr>
            <w:tcW w:w="1662" w:type="dxa"/>
          </w:tcPr>
          <w:p w14:paraId="30CBD404" w14:textId="77777777" w:rsidR="00277A29" w:rsidRDefault="006D2FBE">
            <w:r>
              <w:rPr>
                <w:rFonts w:ascii="Calibri" w:eastAsia="Calibri" w:hAnsi="Calibri"/>
                <w:sz w:val="18"/>
              </w:rPr>
              <w:t>120*</w:t>
            </w:r>
          </w:p>
        </w:tc>
        <w:tc>
          <w:tcPr>
            <w:tcW w:w="1662" w:type="dxa"/>
          </w:tcPr>
          <w:p w14:paraId="1691611E" w14:textId="77777777" w:rsidR="00277A29" w:rsidRDefault="006D2FBE">
            <w:r>
              <w:rPr>
                <w:rFonts w:ascii="Calibri" w:eastAsia="Calibri" w:hAnsi="Calibri"/>
                <w:sz w:val="18"/>
              </w:rPr>
              <w:t>350*</w:t>
            </w:r>
          </w:p>
        </w:tc>
      </w:tr>
      <w:tr w:rsidR="00277A29" w14:paraId="43DE5ACC" w14:textId="77777777">
        <w:tc>
          <w:tcPr>
            <w:tcW w:w="1662" w:type="dxa"/>
            <w:shd w:val="clear" w:color="auto" w:fill="EEF1F8"/>
          </w:tcPr>
          <w:p w14:paraId="69A8261F" w14:textId="77777777" w:rsidR="00277A29" w:rsidRDefault="006D2FBE">
            <w:r>
              <w:rPr>
                <w:rFonts w:ascii="Calibri" w:eastAsia="Calibri" w:hAnsi="Calibri"/>
                <w:sz w:val="18"/>
              </w:rPr>
              <w:t>Révision du texte</w:t>
            </w:r>
          </w:p>
        </w:tc>
        <w:tc>
          <w:tcPr>
            <w:tcW w:w="1662" w:type="dxa"/>
            <w:shd w:val="clear" w:color="auto" w:fill="EEF1F8"/>
          </w:tcPr>
          <w:p w14:paraId="72CB6C0B" w14:textId="77777777" w:rsidR="00277A29" w:rsidRDefault="006D2FBE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662" w:type="dxa"/>
            <w:shd w:val="clear" w:color="auto" w:fill="EEF1F8"/>
          </w:tcPr>
          <w:p w14:paraId="00FCDAB6" w14:textId="77777777" w:rsidR="00277A29" w:rsidRDefault="006D2FB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  <w:shd w:val="clear" w:color="auto" w:fill="EEF1F8"/>
          </w:tcPr>
          <w:p w14:paraId="7F5F1D34" w14:textId="77777777" w:rsidR="00277A29" w:rsidRDefault="006D2FBE">
            <w:r>
              <w:rPr>
                <w:rFonts w:ascii="Calibri" w:eastAsia="Calibri" w:hAnsi="Calibri"/>
                <w:sz w:val="18"/>
              </w:rPr>
              <w:t>60</w:t>
            </w:r>
          </w:p>
        </w:tc>
        <w:tc>
          <w:tcPr>
            <w:tcW w:w="1662" w:type="dxa"/>
            <w:shd w:val="clear" w:color="auto" w:fill="EEF1F8"/>
          </w:tcPr>
          <w:p w14:paraId="7EF050B8" w14:textId="77777777" w:rsidR="00277A29" w:rsidRDefault="006D2FBE">
            <w:r>
              <w:rPr>
                <w:rFonts w:ascii="Calibri" w:eastAsia="Calibri" w:hAnsi="Calibri"/>
                <w:sz w:val="18"/>
              </w:rPr>
              <w:t>250</w:t>
            </w:r>
          </w:p>
        </w:tc>
        <w:tc>
          <w:tcPr>
            <w:tcW w:w="1662" w:type="dxa"/>
            <w:shd w:val="clear" w:color="auto" w:fill="EEF1F8"/>
          </w:tcPr>
          <w:p w14:paraId="64559FBF" w14:textId="77777777" w:rsidR="00277A29" w:rsidRDefault="006D2FBE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277A29" w14:paraId="462D9939" w14:textId="77777777">
        <w:tc>
          <w:tcPr>
            <w:tcW w:w="1662" w:type="dxa"/>
          </w:tcPr>
          <w:p w14:paraId="444E19FA" w14:textId="77777777" w:rsidR="00277A29" w:rsidRDefault="006D2FBE">
            <w:r>
              <w:rPr>
                <w:rFonts w:ascii="Calibri" w:eastAsia="Calibri" w:hAnsi="Calibri"/>
                <w:sz w:val="18"/>
              </w:rPr>
              <w:t>Analyse</w:t>
            </w:r>
          </w:p>
        </w:tc>
        <w:tc>
          <w:tcPr>
            <w:tcW w:w="1662" w:type="dxa"/>
          </w:tcPr>
          <w:p w14:paraId="03476BCF" w14:textId="77777777" w:rsidR="00277A29" w:rsidRDefault="006D2FB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</w:tcPr>
          <w:p w14:paraId="65FF8B76" w14:textId="77777777" w:rsidR="00277A29" w:rsidRDefault="006D2FBE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62" w:type="dxa"/>
          </w:tcPr>
          <w:p w14:paraId="17960E9B" w14:textId="77777777" w:rsidR="00277A29" w:rsidRDefault="006D2FBE"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1662" w:type="dxa"/>
          </w:tcPr>
          <w:p w14:paraId="72BB0787" w14:textId="77777777" w:rsidR="00277A29" w:rsidRDefault="006D2FB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</w:tcPr>
          <w:p w14:paraId="0C1CC13B" w14:textId="77777777" w:rsidR="00277A29" w:rsidRDefault="006D2FBE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277A29" w14:paraId="7FFF810D" w14:textId="77777777">
        <w:tc>
          <w:tcPr>
            <w:tcW w:w="1662" w:type="dxa"/>
            <w:shd w:val="clear" w:color="auto" w:fill="EEF1F8"/>
          </w:tcPr>
          <w:p w14:paraId="5E5C00AA" w14:textId="77777777" w:rsidR="00277A29" w:rsidRDefault="006D2FBE">
            <w:r>
              <w:rPr>
                <w:rFonts w:ascii="Calibri" w:eastAsia="Calibri" w:hAnsi="Calibri"/>
                <w:sz w:val="18"/>
              </w:rPr>
              <w:t>Synthèse / résumé</w:t>
            </w:r>
          </w:p>
        </w:tc>
        <w:tc>
          <w:tcPr>
            <w:tcW w:w="1662" w:type="dxa"/>
            <w:shd w:val="clear" w:color="auto" w:fill="EEF1F8"/>
          </w:tcPr>
          <w:p w14:paraId="0A925540" w14:textId="77777777" w:rsidR="00277A29" w:rsidRDefault="006D2FBE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662" w:type="dxa"/>
            <w:shd w:val="clear" w:color="auto" w:fill="EEF1F8"/>
          </w:tcPr>
          <w:p w14:paraId="2ADD2369" w14:textId="77777777" w:rsidR="00277A29" w:rsidRDefault="006D2FBE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662" w:type="dxa"/>
            <w:shd w:val="clear" w:color="auto" w:fill="EEF1F8"/>
          </w:tcPr>
          <w:p w14:paraId="00A43E9A" w14:textId="77777777" w:rsidR="00277A29" w:rsidRDefault="006D2FBE">
            <w:r>
              <w:rPr>
                <w:rFonts w:ascii="Calibri" w:eastAsia="Calibri" w:hAnsi="Calibri"/>
                <w:sz w:val="18"/>
              </w:rPr>
              <w:t>25</w:t>
            </w:r>
          </w:p>
        </w:tc>
        <w:tc>
          <w:tcPr>
            <w:tcW w:w="1662" w:type="dxa"/>
            <w:shd w:val="clear" w:color="auto" w:fill="EEF1F8"/>
          </w:tcPr>
          <w:p w14:paraId="38024A0D" w14:textId="77777777" w:rsidR="00277A29" w:rsidRDefault="006D2FBE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62" w:type="dxa"/>
            <w:shd w:val="clear" w:color="auto" w:fill="EEF1F8"/>
          </w:tcPr>
          <w:p w14:paraId="4ADF9FBA" w14:textId="77777777" w:rsidR="00277A29" w:rsidRDefault="006D2FBE">
            <w:r>
              <w:rPr>
                <w:rFonts w:ascii="Calibri" w:eastAsia="Calibri" w:hAnsi="Calibri"/>
                <w:sz w:val="18"/>
              </w:rPr>
              <w:t>300</w:t>
            </w:r>
          </w:p>
        </w:tc>
      </w:tr>
      <w:tr w:rsidR="00277A29" w14:paraId="6495AA40" w14:textId="77777777">
        <w:tc>
          <w:tcPr>
            <w:tcW w:w="1662" w:type="dxa"/>
          </w:tcPr>
          <w:p w14:paraId="0806D1CD" w14:textId="77777777" w:rsidR="00277A29" w:rsidRDefault="006D2FBE">
            <w:r>
              <w:rPr>
                <w:rFonts w:ascii="Calibri" w:eastAsia="Calibri" w:hAnsi="Calibri"/>
                <w:sz w:val="18"/>
              </w:rPr>
              <w:t>Question sur pièces (ask)</w:t>
            </w:r>
          </w:p>
        </w:tc>
        <w:tc>
          <w:tcPr>
            <w:tcW w:w="1662" w:type="dxa"/>
          </w:tcPr>
          <w:p w14:paraId="08AB658A" w14:textId="77777777" w:rsidR="00277A29" w:rsidRDefault="006D2FBE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662" w:type="dxa"/>
          </w:tcPr>
          <w:p w14:paraId="32631E39" w14:textId="77777777" w:rsidR="00277A29" w:rsidRDefault="006D2FB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</w:tcPr>
          <w:p w14:paraId="1F8B484D" w14:textId="77777777" w:rsidR="00277A29" w:rsidRDefault="006D2FBE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62" w:type="dxa"/>
          </w:tcPr>
          <w:p w14:paraId="3D617269" w14:textId="77777777" w:rsidR="00277A29" w:rsidRDefault="006D2FBE">
            <w:r>
              <w:rPr>
                <w:rFonts w:ascii="Calibri" w:eastAsia="Calibri" w:hAnsi="Calibri"/>
                <w:sz w:val="18"/>
              </w:rPr>
              <w:t>400</w:t>
            </w:r>
          </w:p>
        </w:tc>
        <w:tc>
          <w:tcPr>
            <w:tcW w:w="1662" w:type="dxa"/>
          </w:tcPr>
          <w:p w14:paraId="5E6F0813" w14:textId="77777777" w:rsidR="00277A29" w:rsidRDefault="006D2FBE">
            <w:r>
              <w:rPr>
                <w:rFonts w:ascii="Calibri" w:eastAsia="Calibri" w:hAnsi="Calibri"/>
                <w:sz w:val="18"/>
              </w:rPr>
              <w:t>1 200</w:t>
            </w:r>
          </w:p>
        </w:tc>
      </w:tr>
      <w:tr w:rsidR="00277A29" w14:paraId="43A35413" w14:textId="77777777">
        <w:tc>
          <w:tcPr>
            <w:tcW w:w="1662" w:type="dxa"/>
            <w:shd w:val="clear" w:color="auto" w:fill="EEF1F8"/>
          </w:tcPr>
          <w:p w14:paraId="5CB141EC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Clé de barre (fiche orale audience)</w:t>
            </w:r>
          </w:p>
        </w:tc>
        <w:tc>
          <w:tcPr>
            <w:tcW w:w="1662" w:type="dxa"/>
            <w:shd w:val="clear" w:color="auto" w:fill="EEF1F8"/>
          </w:tcPr>
          <w:p w14:paraId="173AF16C" w14:textId="77777777" w:rsidR="00277A29" w:rsidRDefault="006D2FB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62" w:type="dxa"/>
            <w:shd w:val="clear" w:color="auto" w:fill="EEF1F8"/>
          </w:tcPr>
          <w:p w14:paraId="4B4C8B49" w14:textId="77777777" w:rsidR="00277A29" w:rsidRDefault="006D2FBE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62" w:type="dxa"/>
            <w:shd w:val="clear" w:color="auto" w:fill="EEF1F8"/>
          </w:tcPr>
          <w:p w14:paraId="52883B32" w14:textId="77777777" w:rsidR="00277A29" w:rsidRDefault="006D2FB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62" w:type="dxa"/>
            <w:shd w:val="clear" w:color="auto" w:fill="EEF1F8"/>
          </w:tcPr>
          <w:p w14:paraId="4F53D889" w14:textId="77777777" w:rsidR="00277A29" w:rsidRDefault="006D2FB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  <w:shd w:val="clear" w:color="auto" w:fill="EEF1F8"/>
          </w:tcPr>
          <w:p w14:paraId="5EA6E4C5" w14:textId="77777777" w:rsidR="00277A29" w:rsidRDefault="006D2FBE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277A29" w14:paraId="7C83D6C7" w14:textId="77777777">
        <w:tc>
          <w:tcPr>
            <w:tcW w:w="1662" w:type="dxa"/>
          </w:tcPr>
          <w:p w14:paraId="6BDD3611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Budget crédits IA total / mois</w:t>
            </w:r>
          </w:p>
        </w:tc>
        <w:tc>
          <w:tcPr>
            <w:tcW w:w="1662" w:type="dxa"/>
          </w:tcPr>
          <w:p w14:paraId="207009DD" w14:textId="77777777" w:rsidR="00277A29" w:rsidRDefault="006D2FBE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662" w:type="dxa"/>
          </w:tcPr>
          <w:p w14:paraId="0537151E" w14:textId="77777777" w:rsidR="00277A29" w:rsidRDefault="006D2FB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62" w:type="dxa"/>
          </w:tcPr>
          <w:p w14:paraId="2D31CB5C" w14:textId="77777777" w:rsidR="00277A29" w:rsidRDefault="006D2FBE">
            <w:r>
              <w:rPr>
                <w:rFonts w:ascii="Calibri" w:eastAsia="Calibri" w:hAnsi="Calibri"/>
                <w:sz w:val="18"/>
              </w:rPr>
              <w:t>600</w:t>
            </w:r>
          </w:p>
        </w:tc>
        <w:tc>
          <w:tcPr>
            <w:tcW w:w="1662" w:type="dxa"/>
          </w:tcPr>
          <w:p w14:paraId="6A534962" w14:textId="77777777" w:rsidR="00277A29" w:rsidRDefault="006D2FBE">
            <w:r>
              <w:rPr>
                <w:rFonts w:ascii="Calibri" w:eastAsia="Calibri" w:hAnsi="Calibri"/>
                <w:sz w:val="18"/>
              </w:rPr>
              <w:t>2 000</w:t>
            </w:r>
          </w:p>
        </w:tc>
        <w:tc>
          <w:tcPr>
            <w:tcW w:w="1662" w:type="dxa"/>
          </w:tcPr>
          <w:p w14:paraId="183320F3" w14:textId="77777777" w:rsidR="00277A29" w:rsidRDefault="006D2FBE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68D37B97" w14:textId="77777777" w:rsidR="00277A29" w:rsidRDefault="00277A29"/>
    <w:p w14:paraId="14392DE5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i/>
          <w:sz w:val="18"/>
          <w:lang w:val="fr-FR"/>
        </w:rPr>
        <w:t xml:space="preserve">* Une rédaction consomme 1 unité du quota « plaidoiries » et 10 crédits IA. Exemple Solo : à 35 </w:t>
      </w:r>
      <w:r w:rsidRPr="00EA74C4">
        <w:rPr>
          <w:rFonts w:ascii="Calibri" w:eastAsia="Calibri" w:hAnsi="Calibri"/>
          <w:i/>
          <w:sz w:val="18"/>
          <w:lang w:val="fr-FR"/>
        </w:rPr>
        <w:t>plaidoiries × 10 = 350 crédits rien que pour la rédaction ; il reste des crédits pour révisions, analyses, etc., dans la limite de 600.</w:t>
      </w:r>
    </w:p>
    <w:p w14:paraId="70A25C17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Anti-abus déjà actif : plafond journalier de crédits (Découverte 12 · Solo 50 · Cabinet 180 · Entreprise 300) et nombre </w:t>
      </w:r>
      <w:r w:rsidRPr="00EA74C4">
        <w:rPr>
          <w:rFonts w:ascii="Calibri" w:eastAsia="Calibri" w:hAnsi="Calibri"/>
          <w:sz w:val="20"/>
          <w:lang w:val="fr-FR"/>
        </w:rPr>
        <w:t xml:space="preserve">de slots IA parallèles (1 / 1 / 2 / 3). Ces plafonds empêchent un drain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OpenAI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en quelques heures même si le quota mensuel n’est pas encore épuisé.</w:t>
      </w:r>
    </w:p>
    <w:p w14:paraId="1FB3DD83" w14:textId="2B8ACCD6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i/>
          <w:sz w:val="18"/>
          <w:lang w:val="fr-FR"/>
        </w:rPr>
        <w:t xml:space="preserve">Note — « Clé de barre » : </w:t>
      </w:r>
      <w:r w:rsidRPr="00EA74C4">
        <w:rPr>
          <w:rFonts w:ascii="Calibri" w:eastAsia="Calibri" w:hAnsi="Calibri"/>
          <w:i/>
          <w:sz w:val="18"/>
          <w:lang w:val="fr-FR"/>
        </w:rPr>
        <w:t>C’est une fiche orale préparée par l’IA à partir des</w:t>
      </w:r>
      <w:r w:rsidRPr="00EA74C4">
        <w:rPr>
          <w:rFonts w:ascii="Calibri" w:eastAsia="Calibri" w:hAnsi="Calibri"/>
          <w:i/>
          <w:sz w:val="18"/>
          <w:lang w:val="fr-FR"/>
        </w:rPr>
        <w:t xml:space="preserve"> pièces du dossier (faits / moyens / demandes / points d’audience) pour aider l’avocat à plaider à la barre. Compte dans les quotas IA comme les autres actions.</w:t>
      </w:r>
    </w:p>
    <w:p w14:paraId="5245A781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 xml:space="preserve">3. Justification des prix (Van </w:t>
      </w:r>
      <w:proofErr w:type="spellStart"/>
      <w:r w:rsidRPr="00EA74C4">
        <w:rPr>
          <w:color w:val="0A1228"/>
          <w:lang w:val="fr-FR"/>
        </w:rPr>
        <w:t>Westendorp</w:t>
      </w:r>
      <w:proofErr w:type="spellEnd"/>
      <w:r w:rsidRPr="00EA74C4">
        <w:rPr>
          <w:color w:val="0A1228"/>
          <w:lang w:val="fr-FR"/>
        </w:rPr>
        <w:t>)</w:t>
      </w:r>
    </w:p>
    <w:p w14:paraId="5537F38D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Les prix publics ont été positionnés avec Van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Westen</w:t>
      </w:r>
      <w:r w:rsidRPr="00EA74C4">
        <w:rPr>
          <w:rFonts w:ascii="Calibri" w:eastAsia="Calibri" w:hAnsi="Calibri"/>
          <w:sz w:val="20"/>
          <w:lang w:val="fr-FR"/>
        </w:rPr>
        <w:t>dorp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(sensibilité prix) : l’optimum retenu est celui déployé, ni le plancher (qui dégrade la perception) ni le plafond (qui freine la conversion).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277A29" w14:paraId="48A4801C" w14:textId="77777777">
        <w:tc>
          <w:tcPr>
            <w:tcW w:w="1994" w:type="dxa"/>
            <w:shd w:val="clear" w:color="auto" w:fill="0A1228"/>
          </w:tcPr>
          <w:p w14:paraId="5E875372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994" w:type="dxa"/>
            <w:shd w:val="clear" w:color="auto" w:fill="0A1228"/>
          </w:tcPr>
          <w:p w14:paraId="0899137C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Prix déployé</w:t>
            </w:r>
          </w:p>
        </w:tc>
        <w:tc>
          <w:tcPr>
            <w:tcW w:w="1994" w:type="dxa"/>
            <w:shd w:val="clear" w:color="auto" w:fill="0A1228"/>
          </w:tcPr>
          <w:p w14:paraId="738D3211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Plancher étudié</w:t>
            </w:r>
          </w:p>
        </w:tc>
        <w:tc>
          <w:tcPr>
            <w:tcW w:w="1994" w:type="dxa"/>
            <w:shd w:val="clear" w:color="auto" w:fill="0A1228"/>
          </w:tcPr>
          <w:p w14:paraId="0AC6B4F5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Plafond étudié</w:t>
            </w:r>
          </w:p>
        </w:tc>
        <w:tc>
          <w:tcPr>
            <w:tcW w:w="1994" w:type="dxa"/>
            <w:shd w:val="clear" w:color="auto" w:fill="0A1228"/>
          </w:tcPr>
          <w:p w14:paraId="0418DB5F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Élasticité</w:t>
            </w:r>
          </w:p>
        </w:tc>
      </w:tr>
      <w:tr w:rsidR="00277A29" w14:paraId="25028B08" w14:textId="77777777">
        <w:tc>
          <w:tcPr>
            <w:tcW w:w="1994" w:type="dxa"/>
          </w:tcPr>
          <w:p w14:paraId="69D39FA4" w14:textId="77777777" w:rsidR="00277A29" w:rsidRDefault="006D2FB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994" w:type="dxa"/>
          </w:tcPr>
          <w:p w14:paraId="76A03EE0" w14:textId="77777777" w:rsidR="00277A29" w:rsidRDefault="006D2FBE">
            <w:r>
              <w:rPr>
                <w:rFonts w:ascii="Calibri" w:eastAsia="Calibri" w:hAnsi="Calibri"/>
                <w:sz w:val="18"/>
              </w:rPr>
              <w:t>299 MAD / mois</w:t>
            </w:r>
          </w:p>
        </w:tc>
        <w:tc>
          <w:tcPr>
            <w:tcW w:w="1994" w:type="dxa"/>
          </w:tcPr>
          <w:p w14:paraId="7C991194" w14:textId="77777777" w:rsidR="00277A29" w:rsidRDefault="006D2FBE">
            <w:r>
              <w:rPr>
                <w:rFonts w:ascii="Calibri" w:eastAsia="Calibri" w:hAnsi="Calibri"/>
                <w:sz w:val="18"/>
              </w:rPr>
              <w:t>199</w:t>
            </w:r>
          </w:p>
        </w:tc>
        <w:tc>
          <w:tcPr>
            <w:tcW w:w="1994" w:type="dxa"/>
          </w:tcPr>
          <w:p w14:paraId="174464DC" w14:textId="77777777" w:rsidR="00277A29" w:rsidRDefault="006D2FBE">
            <w:r>
              <w:rPr>
                <w:rFonts w:ascii="Calibri" w:eastAsia="Calibri" w:hAnsi="Calibri"/>
                <w:sz w:val="18"/>
              </w:rPr>
              <w:t>399</w:t>
            </w:r>
          </w:p>
        </w:tc>
        <w:tc>
          <w:tcPr>
            <w:tcW w:w="1994" w:type="dxa"/>
          </w:tcPr>
          <w:p w14:paraId="35DE1CC5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Élevée (−1,8) → </w:t>
            </w:r>
            <w:r>
              <w:rPr>
                <w:rFonts w:ascii="Calibri" w:eastAsia="Calibri" w:hAnsi="Calibri"/>
                <w:sz w:val="18"/>
              </w:rPr>
              <w:t>essai 14 j + annuel</w:t>
            </w:r>
          </w:p>
        </w:tc>
      </w:tr>
      <w:tr w:rsidR="00277A29" w:rsidRPr="00EA74C4" w14:paraId="3FF764A1" w14:textId="77777777">
        <w:tc>
          <w:tcPr>
            <w:tcW w:w="1994" w:type="dxa"/>
            <w:shd w:val="clear" w:color="auto" w:fill="EEF1F8"/>
          </w:tcPr>
          <w:p w14:paraId="6D9C8719" w14:textId="77777777" w:rsidR="00277A29" w:rsidRDefault="006D2FBE">
            <w:r>
              <w:rPr>
                <w:rFonts w:ascii="Calibri" w:eastAsia="Calibri" w:hAnsi="Calibri"/>
                <w:sz w:val="18"/>
              </w:rPr>
              <w:t>Cabinet</w:t>
            </w:r>
          </w:p>
        </w:tc>
        <w:tc>
          <w:tcPr>
            <w:tcW w:w="1994" w:type="dxa"/>
            <w:shd w:val="clear" w:color="auto" w:fill="EEF1F8"/>
          </w:tcPr>
          <w:p w14:paraId="28F7B814" w14:textId="77777777" w:rsidR="00277A29" w:rsidRDefault="006D2FBE">
            <w:r>
              <w:rPr>
                <w:rFonts w:ascii="Calibri" w:eastAsia="Calibri" w:hAnsi="Calibri"/>
                <w:sz w:val="18"/>
              </w:rPr>
              <w:t>699 MAD / mois</w:t>
            </w:r>
          </w:p>
        </w:tc>
        <w:tc>
          <w:tcPr>
            <w:tcW w:w="1994" w:type="dxa"/>
            <w:shd w:val="clear" w:color="auto" w:fill="EEF1F8"/>
          </w:tcPr>
          <w:p w14:paraId="425DA39E" w14:textId="77777777" w:rsidR="00277A29" w:rsidRDefault="006D2FBE">
            <w:r>
              <w:rPr>
                <w:rFonts w:ascii="Calibri" w:eastAsia="Calibri" w:hAnsi="Calibri"/>
                <w:sz w:val="18"/>
              </w:rPr>
              <w:t>499</w:t>
            </w:r>
          </w:p>
        </w:tc>
        <w:tc>
          <w:tcPr>
            <w:tcW w:w="1994" w:type="dxa"/>
            <w:shd w:val="clear" w:color="auto" w:fill="EEF1F8"/>
          </w:tcPr>
          <w:p w14:paraId="1D5AC1C3" w14:textId="77777777" w:rsidR="00277A29" w:rsidRDefault="006D2FBE">
            <w:r>
              <w:rPr>
                <w:rFonts w:ascii="Calibri" w:eastAsia="Calibri" w:hAnsi="Calibri"/>
                <w:sz w:val="18"/>
              </w:rPr>
              <w:t>899</w:t>
            </w:r>
          </w:p>
        </w:tc>
        <w:tc>
          <w:tcPr>
            <w:tcW w:w="1994" w:type="dxa"/>
            <w:shd w:val="clear" w:color="auto" w:fill="EEF1F8"/>
          </w:tcPr>
          <w:p w14:paraId="3DC815C1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Moyenne (−1,2) → offre phare, essai 30 j</w:t>
            </w:r>
          </w:p>
        </w:tc>
      </w:tr>
      <w:tr w:rsidR="00277A29" w:rsidRPr="00EA74C4" w14:paraId="62297B2D" w14:textId="77777777">
        <w:tc>
          <w:tcPr>
            <w:tcW w:w="1994" w:type="dxa"/>
          </w:tcPr>
          <w:p w14:paraId="10DC5453" w14:textId="77777777" w:rsidR="00277A29" w:rsidRDefault="006D2FBE">
            <w:proofErr w:type="spellStart"/>
            <w:r>
              <w:rPr>
                <w:rFonts w:ascii="Calibri" w:eastAsia="Calibri" w:hAnsi="Calibri"/>
                <w:sz w:val="18"/>
              </w:rPr>
              <w:t>Entreprise</w:t>
            </w:r>
            <w:proofErr w:type="spellEnd"/>
          </w:p>
        </w:tc>
        <w:tc>
          <w:tcPr>
            <w:tcW w:w="1994" w:type="dxa"/>
          </w:tcPr>
          <w:p w14:paraId="6F9BB3D7" w14:textId="77777777" w:rsidR="00277A29" w:rsidRDefault="006D2FBE">
            <w:r>
              <w:rPr>
                <w:rFonts w:ascii="Calibri" w:eastAsia="Calibri" w:hAnsi="Calibri"/>
                <w:sz w:val="18"/>
              </w:rPr>
              <w:t>1 290 MAD / mois</w:t>
            </w:r>
          </w:p>
        </w:tc>
        <w:tc>
          <w:tcPr>
            <w:tcW w:w="1994" w:type="dxa"/>
          </w:tcPr>
          <w:p w14:paraId="434F2815" w14:textId="77777777" w:rsidR="00277A29" w:rsidRDefault="006D2FBE">
            <w:r>
              <w:rPr>
                <w:rFonts w:ascii="Calibri" w:eastAsia="Calibri" w:hAnsi="Calibri"/>
                <w:sz w:val="18"/>
              </w:rPr>
              <w:t>990</w:t>
            </w:r>
          </w:p>
        </w:tc>
        <w:tc>
          <w:tcPr>
            <w:tcW w:w="1994" w:type="dxa"/>
          </w:tcPr>
          <w:p w14:paraId="4EC17389" w14:textId="77777777" w:rsidR="00277A29" w:rsidRDefault="006D2FBE">
            <w:r>
              <w:rPr>
                <w:rFonts w:ascii="Calibri" w:eastAsia="Calibri" w:hAnsi="Calibri"/>
                <w:sz w:val="18"/>
              </w:rPr>
              <w:t>1 790</w:t>
            </w:r>
          </w:p>
        </w:tc>
        <w:tc>
          <w:tcPr>
            <w:tcW w:w="1994" w:type="dxa"/>
          </w:tcPr>
          <w:p w14:paraId="6E7A3AAA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Faible (−0,7) → peu de discount public</w:t>
            </w:r>
          </w:p>
        </w:tc>
      </w:tr>
    </w:tbl>
    <w:p w14:paraId="51B84762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>4. Cycle d’abonnement — comportement réel de l’app</w:t>
      </w:r>
    </w:p>
    <w:p w14:paraId="25976407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Voici exactement ce que fait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LexHub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aujourd’hui, dans l’ordre.</w:t>
      </w:r>
    </w:p>
    <w:p w14:paraId="3BE529D3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1. Inscription : e-mail OTP → création du cabinet + compte admin. Abonnement Découverte démarré automatiquement.</w:t>
      </w:r>
    </w:p>
    <w:p w14:paraId="61824FDA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2. Code de parrainage optionnel à l’inscription : le filleul colle le code d’un cabinet déjà client (ou </w:t>
      </w:r>
      <w:r w:rsidRPr="00EA74C4">
        <w:rPr>
          <w:rFonts w:ascii="Calibri" w:eastAsia="Calibri" w:hAnsi="Calibri"/>
          <w:sz w:val="20"/>
          <w:lang w:val="fr-FR"/>
        </w:rPr>
        <w:t>ouvre un lien du type …/</w:t>
      </w:r>
      <w:proofErr w:type="spellStart"/>
      <w:proofErr w:type="gramStart"/>
      <w:r w:rsidRPr="00EA74C4">
        <w:rPr>
          <w:rFonts w:ascii="Calibri" w:eastAsia="Calibri" w:hAnsi="Calibri"/>
          <w:sz w:val="20"/>
          <w:lang w:val="fr-FR"/>
        </w:rPr>
        <w:t>login?</w:t>
      </w:r>
      <w:proofErr w:type="gramEnd"/>
      <w:r w:rsidRPr="00EA74C4">
        <w:rPr>
          <w:rFonts w:ascii="Calibri" w:eastAsia="Calibri" w:hAnsi="Calibri"/>
          <w:sz w:val="20"/>
          <w:lang w:val="fr-FR"/>
        </w:rPr>
        <w:t>tab</w:t>
      </w:r>
      <w:proofErr w:type="spellEnd"/>
      <w:r w:rsidRPr="00EA74C4">
        <w:rPr>
          <w:rFonts w:ascii="Calibri" w:eastAsia="Calibri" w:hAnsi="Calibri"/>
          <w:sz w:val="20"/>
          <w:lang w:val="fr-FR"/>
        </w:rPr>
        <w:t>=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register&amp;ref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=CODE).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LexHub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mémorise alors « ce nouveau cabinet a été invité par tel cabinet ».</w:t>
      </w:r>
    </w:p>
    <w:p w14:paraId="5F3E53FB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3. L’admin ouvre Paramètres → Plan &amp; usage (ou /tarifs) et choisit Solo / Cabinet / Entreprise.</w:t>
      </w:r>
    </w:p>
    <w:p w14:paraId="7528B2B3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4. Essai payant avec carte (mod</w:t>
      </w:r>
      <w:r w:rsidRPr="00EA74C4">
        <w:rPr>
          <w:rFonts w:ascii="Calibri" w:eastAsia="Calibri" w:hAnsi="Calibri"/>
          <w:sz w:val="20"/>
          <w:lang w:val="fr-FR"/>
        </w:rPr>
        <w:t>èle type Coursera) : 14 jours Solo, 30 jours Cabinet / Entreprise. 0 MAD pendant l’essai.</w:t>
      </w:r>
    </w:p>
    <w:p w14:paraId="355C7A29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5. Si le filleul a un parrainage valide : +14 jours ajoutés automatiquement à la fin d’essai au démarrage de cet essai.</w:t>
      </w:r>
    </w:p>
    <w:p w14:paraId="37C7378F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6. Pendant l’essai : l’admin peut résilier → a</w:t>
      </w:r>
      <w:r w:rsidRPr="00EA74C4">
        <w:rPr>
          <w:rFonts w:ascii="Calibri" w:eastAsia="Calibri" w:hAnsi="Calibri"/>
          <w:sz w:val="20"/>
          <w:lang w:val="fr-FR"/>
        </w:rPr>
        <w:t>ucun débit à la fin.</w:t>
      </w:r>
    </w:p>
    <w:p w14:paraId="70AB396B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lastRenderedPageBreak/>
        <w:t>7. Fin d’essai + carte encore enregistrée + pas d’annulation → statut ACTIVE payant ; période mensuelle ou annuelle démarre.</w:t>
      </w:r>
    </w:p>
    <w:p w14:paraId="73C6C138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8. À ce moment, si le filleul avait un parrain : le parrain reçoit +30 jours sur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current_period_end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(une fois)</w:t>
      </w:r>
      <w:r w:rsidRPr="00EA74C4">
        <w:rPr>
          <w:rFonts w:ascii="Calibri" w:eastAsia="Calibri" w:hAnsi="Calibri"/>
          <w:sz w:val="20"/>
          <w:lang w:val="fr-FR"/>
        </w:rPr>
        <w:t>.</w:t>
      </w:r>
    </w:p>
    <w:p w14:paraId="2AEF6B38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9. Sans conversion / après fin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d’abo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/ essai annulé → retour Découverte. Les données dossier restent.</w:t>
      </w:r>
    </w:p>
    <w:p w14:paraId="3DF11025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10. Résiliation en période payante : motif obligatoire (liste codée), effet en fin de période déjà payée.</w:t>
      </w:r>
    </w:p>
    <w:p w14:paraId="64053C3F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11. Échec de paiement : statut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; aprè</w:t>
      </w:r>
      <w:r w:rsidRPr="00EA74C4">
        <w:rPr>
          <w:rFonts w:ascii="Calibri" w:eastAsia="Calibri" w:hAnsi="Calibri"/>
          <w:sz w:val="20"/>
          <w:lang w:val="fr-FR"/>
        </w:rPr>
        <w:t>s 7 jours de grâce, restriction des actions IA / plaidoirie.</w:t>
      </w:r>
    </w:p>
    <w:p w14:paraId="37E530CD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12. Paiement Maroc : CMI et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sont branchés côté environnement (statut « prêt opérateur ») ;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Stripe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international « bientôt ».</w:t>
      </w:r>
    </w:p>
    <w:p w14:paraId="6E8E023C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>5. Usage à la demande — déjà implémenté</w:t>
      </w:r>
    </w:p>
    <w:p w14:paraId="58F8A8DD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Fonctionnalité livrée </w:t>
      </w:r>
      <w:r w:rsidRPr="00EA74C4">
        <w:rPr>
          <w:rFonts w:ascii="Calibri" w:eastAsia="Calibri" w:hAnsi="Calibri"/>
          <w:sz w:val="20"/>
          <w:lang w:val="fr-FR"/>
        </w:rPr>
        <w:t>et visible dans Paramètres → Plan &amp; usage. Principe : le forfait du plan est inclus dans l’abonnement. Au-delà, soit l’app bloque, soit l’admin a explicitement accepté de payer le surplus.</w:t>
      </w:r>
    </w:p>
    <w:p w14:paraId="567303DF" w14:textId="77777777" w:rsidR="00277A29" w:rsidRDefault="006D2FBE">
      <w:pPr>
        <w:pStyle w:val="Heading2"/>
      </w:pPr>
      <w:r>
        <w:rPr>
          <w:color w:val="0A1228"/>
        </w:rPr>
        <w:t xml:space="preserve">5.1 </w:t>
      </w:r>
      <w:proofErr w:type="spellStart"/>
      <w:r>
        <w:rPr>
          <w:color w:val="0A1228"/>
        </w:rPr>
        <w:t>Comportement</w:t>
      </w:r>
      <w:proofErr w:type="spellEnd"/>
      <w:r>
        <w:rPr>
          <w:color w:val="0A1228"/>
        </w:rPr>
        <w:t xml:space="preserve"> par </w:t>
      </w:r>
      <w:proofErr w:type="spellStart"/>
      <w:r>
        <w:rPr>
          <w:color w:val="0A1228"/>
        </w:rPr>
        <w:t>défaut</w:t>
      </w:r>
      <w:proofErr w:type="spellEnd"/>
      <w:r>
        <w:rPr>
          <w:color w:val="0A1228"/>
        </w:rPr>
        <w:t xml:space="preserve"> (production)</w:t>
      </w:r>
    </w:p>
    <w:p w14:paraId="156856D5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Découverte : usage à la de</w:t>
      </w:r>
      <w:r w:rsidRPr="00EA74C4">
        <w:rPr>
          <w:rFonts w:ascii="Calibri" w:eastAsia="Calibri" w:hAnsi="Calibri"/>
          <w:sz w:val="20"/>
          <w:lang w:val="fr-FR"/>
        </w:rPr>
        <w:t>mande impossible. Quota atteint = message d’upgrade ou attendre le mois suivant.</w:t>
      </w:r>
    </w:p>
    <w:p w14:paraId="5ED7F488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Solo / Cabinet / Entreprise : interrupteur « Usage à la demande » OFF par défaut (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on_demand_enabled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= false).</w:t>
      </w:r>
    </w:p>
    <w:p w14:paraId="1DCCE65E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OFF = arrêt net. Aucun crédit hors forfait, aucun MAD de surplus </w:t>
      </w:r>
      <w:r w:rsidRPr="00EA74C4">
        <w:rPr>
          <w:rFonts w:ascii="Calibri" w:eastAsia="Calibri" w:hAnsi="Calibri"/>
          <w:sz w:val="20"/>
          <w:lang w:val="fr-FR"/>
        </w:rPr>
        <w:t>sur la facture.</w:t>
      </w:r>
    </w:p>
    <w:p w14:paraId="58AE5945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Seul l’admin cabinet peut changer le réglage (PATCH /api/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billing</w:t>
      </w:r>
      <w:proofErr w:type="spellEnd"/>
      <w:r w:rsidRPr="00EA74C4">
        <w:rPr>
          <w:rFonts w:ascii="Calibri" w:eastAsia="Calibri" w:hAnsi="Calibri"/>
          <w:sz w:val="20"/>
          <w:lang w:val="fr-FR"/>
        </w:rPr>
        <w:t>/on-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demand</w:t>
      </w:r>
      <w:proofErr w:type="spellEnd"/>
      <w:r w:rsidRPr="00EA74C4">
        <w:rPr>
          <w:rFonts w:ascii="Calibri" w:eastAsia="Calibri" w:hAnsi="Calibri"/>
          <w:sz w:val="20"/>
          <w:lang w:val="fr-FR"/>
        </w:rPr>
        <w:t>).</w:t>
      </w:r>
    </w:p>
    <w:p w14:paraId="33A3A3F4" w14:textId="77777777" w:rsidR="00277A29" w:rsidRDefault="006D2FBE">
      <w:pPr>
        <w:pStyle w:val="Heading2"/>
      </w:pPr>
      <w:r>
        <w:rPr>
          <w:color w:val="0A1228"/>
        </w:rPr>
        <w:t xml:space="preserve">5.2 </w:t>
      </w:r>
      <w:proofErr w:type="spellStart"/>
      <w:r>
        <w:rPr>
          <w:color w:val="0A1228"/>
        </w:rPr>
        <w:t>Quand</w:t>
      </w:r>
      <w:proofErr w:type="spellEnd"/>
      <w:r>
        <w:rPr>
          <w:color w:val="0A1228"/>
        </w:rPr>
        <w:t xml:space="preserve"> </w:t>
      </w:r>
      <w:proofErr w:type="spellStart"/>
      <w:r>
        <w:rPr>
          <w:color w:val="0A1228"/>
        </w:rPr>
        <w:t>l’admin</w:t>
      </w:r>
      <w:proofErr w:type="spellEnd"/>
      <w:r>
        <w:rPr>
          <w:color w:val="0A1228"/>
        </w:rPr>
        <w:t xml:space="preserve"> active l’option</w:t>
      </w:r>
    </w:p>
    <w:p w14:paraId="27D59318" w14:textId="77777777" w:rsidR="00277A29" w:rsidRDefault="006D2FBE">
      <w:pPr>
        <w:pStyle w:val="ListBullet"/>
        <w:spacing w:after="60"/>
      </w:pPr>
      <w:r>
        <w:rPr>
          <w:rFonts w:ascii="Calibri" w:eastAsia="Calibri" w:hAnsi="Calibri"/>
          <w:sz w:val="20"/>
        </w:rPr>
        <w:t>Tarif fixe codé : 0,25 MAD par crédit IA hors forfait (AI_OVERAGE_MAD_PER_CREDIT).</w:t>
      </w:r>
    </w:p>
    <w:p w14:paraId="4778D630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Les crédits hors forfait sont comptés </w:t>
      </w:r>
      <w:r w:rsidRPr="00EA74C4">
        <w:rPr>
          <w:rFonts w:ascii="Calibri" w:eastAsia="Calibri" w:hAnsi="Calibri"/>
          <w:sz w:val="20"/>
          <w:lang w:val="fr-FR"/>
        </w:rPr>
        <w:t>(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ai_overage_credits</w:t>
      </w:r>
      <w:proofErr w:type="spellEnd"/>
      <w:r w:rsidRPr="00EA74C4">
        <w:rPr>
          <w:rFonts w:ascii="Calibri" w:eastAsia="Calibri" w:hAnsi="Calibri"/>
          <w:sz w:val="20"/>
          <w:lang w:val="fr-FR"/>
        </w:rPr>
        <w:t>) et convertis en estimation MAD affichée dans l’UI.</w:t>
      </w:r>
    </w:p>
    <w:p w14:paraId="01BDBA72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Trois modes UI : Désactivé · Activé sans plafond · Activé avec plafond mensuel en MAD (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on_demand_mad_limit</w:t>
      </w:r>
      <w:proofErr w:type="spellEnd"/>
      <w:r w:rsidRPr="00EA74C4">
        <w:rPr>
          <w:rFonts w:ascii="Calibri" w:eastAsia="Calibri" w:hAnsi="Calibri"/>
          <w:sz w:val="20"/>
          <w:lang w:val="fr-FR"/>
        </w:rPr>
        <w:t>).</w:t>
      </w:r>
    </w:p>
    <w:p w14:paraId="66A65412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Si le plafond MAD est atteint : l’action suivante est refusée avec message </w:t>
      </w:r>
      <w:r w:rsidRPr="00EA74C4">
        <w:rPr>
          <w:rFonts w:ascii="Calibri" w:eastAsia="Calibri" w:hAnsi="Calibri"/>
          <w:sz w:val="20"/>
          <w:lang w:val="fr-FR"/>
        </w:rPr>
        <w:t>clair (augmenter le plafond ou attendre).</w:t>
      </w:r>
    </w:p>
    <w:p w14:paraId="15F41A46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Le surplus n’est jamais silencieux : l’admin le voit avant et sur la facture.</w:t>
      </w:r>
    </w:p>
    <w:p w14:paraId="50A0B0D7" w14:textId="77777777" w:rsidR="00277A29" w:rsidRDefault="006D2FBE">
      <w:pPr>
        <w:pStyle w:val="Heading2"/>
      </w:pPr>
      <w:r>
        <w:rPr>
          <w:color w:val="0A1228"/>
        </w:rPr>
        <w:t xml:space="preserve">5.3 Cas </w:t>
      </w:r>
      <w:proofErr w:type="spellStart"/>
      <w:r>
        <w:rPr>
          <w:color w:val="0A1228"/>
        </w:rPr>
        <w:t>gérés</w:t>
      </w:r>
      <w:proofErr w:type="spellEnd"/>
      <w:r>
        <w:rPr>
          <w:color w:val="0A1228"/>
        </w:rPr>
        <w:t xml:space="preserve"> dans l’application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77A29" w14:paraId="733FEFD8" w14:textId="77777777">
        <w:tc>
          <w:tcPr>
            <w:tcW w:w="4986" w:type="dxa"/>
            <w:shd w:val="clear" w:color="auto" w:fill="0A1228"/>
          </w:tcPr>
          <w:p w14:paraId="3FAD17E6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Cas réel</w:t>
            </w:r>
          </w:p>
        </w:tc>
        <w:tc>
          <w:tcPr>
            <w:tcW w:w="4986" w:type="dxa"/>
            <w:shd w:val="clear" w:color="auto" w:fill="0A1228"/>
          </w:tcPr>
          <w:p w14:paraId="6E7AACB1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Réponse de LexHub aujourd’hui</w:t>
            </w:r>
          </w:p>
        </w:tc>
      </w:tr>
      <w:tr w:rsidR="00277A29" w14:paraId="5C0AC15B" w14:textId="77777777">
        <w:tc>
          <w:tcPr>
            <w:tcW w:w="4986" w:type="dxa"/>
          </w:tcPr>
          <w:p w14:paraId="76E120E2" w14:textId="77777777" w:rsidR="00277A29" w:rsidRDefault="006D2FBE">
            <w:r>
              <w:rPr>
                <w:rFonts w:ascii="Calibri" w:eastAsia="Calibri" w:hAnsi="Calibri"/>
                <w:sz w:val="18"/>
              </w:rPr>
              <w:t>Solo, 600/600 crédits, usage OFF</w:t>
            </w:r>
          </w:p>
        </w:tc>
        <w:tc>
          <w:tcPr>
            <w:tcW w:w="4986" w:type="dxa"/>
          </w:tcPr>
          <w:p w14:paraId="35B78233" w14:textId="77777777" w:rsidR="00277A29" w:rsidRDefault="006D2FBE"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L’app refuse l’action 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(écran / message d’erreur : quota du mois atteint). Elle propose : activer l’usage à la demande (~0,25 MAD par crédit en plus), passer à un plan supérieur, ou attendre le mois suivant. </w:t>
            </w:r>
            <w:r>
              <w:rPr>
                <w:rFonts w:ascii="Calibri" w:eastAsia="Calibri" w:hAnsi="Calibri"/>
                <w:sz w:val="18"/>
              </w:rPr>
              <w:t>(Code technique HTTP 402 = paiement / quota requis.)</w:t>
            </w:r>
          </w:p>
        </w:tc>
      </w:tr>
      <w:tr w:rsidR="00277A29" w:rsidRPr="00EA74C4" w14:paraId="6BABDDC4" w14:textId="77777777">
        <w:tc>
          <w:tcPr>
            <w:tcW w:w="4986" w:type="dxa"/>
            <w:shd w:val="clear" w:color="auto" w:fill="EEF1F8"/>
          </w:tcPr>
          <w:p w14:paraId="23A8B04E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Solo, crédits épu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>isés, usage ON, sans plafond</w:t>
            </w:r>
          </w:p>
        </w:tc>
        <w:tc>
          <w:tcPr>
            <w:tcW w:w="4986" w:type="dxa"/>
            <w:shd w:val="clear" w:color="auto" w:fill="EEF1F8"/>
          </w:tcPr>
          <w:p w14:paraId="19805790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Action autorisée. Crédits comptés en </w:t>
            </w:r>
            <w:proofErr w:type="spellStart"/>
            <w:r w:rsidRPr="00EA74C4">
              <w:rPr>
                <w:rFonts w:ascii="Calibri" w:eastAsia="Calibri" w:hAnsi="Calibri"/>
                <w:sz w:val="18"/>
                <w:lang w:val="fr-FR"/>
              </w:rPr>
              <w:t>overage</w:t>
            </w:r>
            <w:proofErr w:type="spellEnd"/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 → MAD estimés dans Plan &amp; usage.</w:t>
            </w:r>
          </w:p>
        </w:tc>
      </w:tr>
      <w:tr w:rsidR="00277A29" w:rsidRPr="00EA74C4" w14:paraId="413E5BD5" w14:textId="77777777">
        <w:tc>
          <w:tcPr>
            <w:tcW w:w="4986" w:type="dxa"/>
          </w:tcPr>
          <w:p w14:paraId="3B6799B8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Cabinet, usage ON, plafond 100 MAD, surplus déjà ≈ 100 MAD</w:t>
            </w:r>
          </w:p>
        </w:tc>
        <w:tc>
          <w:tcPr>
            <w:tcW w:w="4986" w:type="dxa"/>
          </w:tcPr>
          <w:p w14:paraId="108108E1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Action refusée. Message : plafond d’usage à la demande atteint.</w:t>
            </w:r>
          </w:p>
        </w:tc>
      </w:tr>
      <w:tr w:rsidR="00277A29" w14:paraId="7304DAFD" w14:textId="77777777">
        <w:tc>
          <w:tcPr>
            <w:tcW w:w="4986" w:type="dxa"/>
            <w:shd w:val="clear" w:color="auto" w:fill="EEF1F8"/>
          </w:tcPr>
          <w:p w14:paraId="1055C7C8" w14:textId="77777777" w:rsidR="00277A29" w:rsidRDefault="006D2FBE">
            <w:proofErr w:type="spell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3/3 </w:t>
            </w:r>
            <w:proofErr w:type="spellStart"/>
            <w:r>
              <w:rPr>
                <w:rFonts w:ascii="Calibri" w:eastAsia="Calibri" w:hAnsi="Calibri"/>
                <w:sz w:val="18"/>
              </w:rPr>
              <w:t>plaidoir</w:t>
            </w:r>
            <w:r>
              <w:rPr>
                <w:rFonts w:ascii="Calibri" w:eastAsia="Calibri" w:hAnsi="Calibri"/>
                <w:sz w:val="18"/>
              </w:rPr>
              <w:t>ies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ou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50/50 crédits</w:t>
            </w:r>
          </w:p>
        </w:tc>
        <w:tc>
          <w:tcPr>
            <w:tcW w:w="4986" w:type="dxa"/>
            <w:shd w:val="clear" w:color="auto" w:fill="EEF1F8"/>
          </w:tcPr>
          <w:p w14:paraId="45DE0F7C" w14:textId="77777777" w:rsidR="00277A29" w:rsidRDefault="006D2FBE">
            <w:r>
              <w:rPr>
                <w:rFonts w:ascii="Calibri" w:eastAsia="Calibri" w:hAnsi="Calibri"/>
                <w:sz w:val="18"/>
              </w:rPr>
              <w:t>Stop. Pas d’overage possible. Proposition Solo / Cabinet.</w:t>
            </w:r>
          </w:p>
        </w:tc>
      </w:tr>
      <w:tr w:rsidR="00277A29" w:rsidRPr="00EA74C4" w14:paraId="0870EA20" w14:textId="77777777">
        <w:tc>
          <w:tcPr>
            <w:tcW w:w="4986" w:type="dxa"/>
          </w:tcPr>
          <w:p w14:paraId="1C521F0A" w14:textId="77777777" w:rsidR="00277A29" w:rsidRDefault="006D2FBE">
            <w:r>
              <w:rPr>
                <w:rFonts w:ascii="Calibri" w:eastAsia="Calibri" w:hAnsi="Calibri"/>
                <w:sz w:val="18"/>
              </w:rPr>
              <w:t>Plaidoiries Solo 35/35, usage OFF</w:t>
            </w:r>
          </w:p>
        </w:tc>
        <w:tc>
          <w:tcPr>
            <w:tcW w:w="4986" w:type="dxa"/>
          </w:tcPr>
          <w:p w14:paraId="157D7151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Rédaction bloquée (même logique de garde-fou que les crédits).</w:t>
            </w:r>
          </w:p>
        </w:tc>
      </w:tr>
      <w:tr w:rsidR="00277A29" w:rsidRPr="00EA74C4" w14:paraId="6F9127F0" w14:textId="77777777">
        <w:tc>
          <w:tcPr>
            <w:tcW w:w="4986" w:type="dxa"/>
            <w:shd w:val="clear" w:color="auto" w:fill="EEF1F8"/>
          </w:tcPr>
          <w:p w14:paraId="6ED27BDA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Admin désactive l’usage après avoir généré du surplus</w:t>
            </w:r>
          </w:p>
        </w:tc>
        <w:tc>
          <w:tcPr>
            <w:tcW w:w="4986" w:type="dxa"/>
            <w:shd w:val="clear" w:color="auto" w:fill="EEF1F8"/>
          </w:tcPr>
          <w:p w14:paraId="1BE65D2C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Plus aucun 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>nouveau surplus ; le surplus déjà compté reste visible pour facturation.</w:t>
            </w:r>
          </w:p>
        </w:tc>
      </w:tr>
    </w:tbl>
    <w:p w14:paraId="2EB622EA" w14:textId="77777777" w:rsidR="00277A29" w:rsidRPr="00EA74C4" w:rsidRDefault="00277A29">
      <w:pPr>
        <w:rPr>
          <w:lang w:val="fr-FR"/>
        </w:rPr>
      </w:pPr>
    </w:p>
    <w:p w14:paraId="1C66473F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>6. Parrainage cabinet → cabinet — déjà en production</w:t>
      </w:r>
    </w:p>
    <w:p w14:paraId="1AC8065E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Le programme est live sur </w:t>
      </w:r>
      <w:proofErr w:type="spellStart"/>
      <w:proofErr w:type="gramStart"/>
      <w:r w:rsidRPr="00EA74C4">
        <w:rPr>
          <w:rFonts w:ascii="Calibri" w:eastAsia="Calibri" w:hAnsi="Calibri"/>
          <w:sz w:val="20"/>
          <w:lang w:val="fr-FR"/>
        </w:rPr>
        <w:t>lexhub.space</w:t>
      </w:r>
      <w:proofErr w:type="spellEnd"/>
      <w:proofErr w:type="gramEnd"/>
      <w:r w:rsidRPr="00EA74C4">
        <w:rPr>
          <w:rFonts w:ascii="Calibri" w:eastAsia="Calibri" w:hAnsi="Calibri"/>
          <w:sz w:val="20"/>
          <w:lang w:val="fr-FR"/>
        </w:rPr>
        <w:t xml:space="preserve"> : section landing #parrainage, liens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navbar</w:t>
      </w:r>
      <w:proofErr w:type="spellEnd"/>
      <w:r w:rsidRPr="00EA74C4">
        <w:rPr>
          <w:rFonts w:ascii="Calibri" w:eastAsia="Calibri" w:hAnsi="Calibri"/>
          <w:sz w:val="20"/>
          <w:lang w:val="fr-FR"/>
        </w:rPr>
        <w:t>, champ code à l’inscription, API GET /api/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bil</w:t>
      </w:r>
      <w:r w:rsidRPr="00EA74C4">
        <w:rPr>
          <w:rFonts w:ascii="Calibri" w:eastAsia="Calibri" w:hAnsi="Calibri"/>
          <w:sz w:val="20"/>
          <w:lang w:val="fr-FR"/>
        </w:rPr>
        <w:t>ling</w:t>
      </w:r>
      <w:proofErr w:type="spellEnd"/>
      <w:r w:rsidRPr="00EA74C4">
        <w:rPr>
          <w:rFonts w:ascii="Calibri" w:eastAsia="Calibri" w:hAnsi="Calibri"/>
          <w:sz w:val="20"/>
          <w:lang w:val="fr-FR"/>
        </w:rPr>
        <w:t>/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EA74C4">
        <w:rPr>
          <w:rFonts w:ascii="Calibri" w:eastAsia="Calibri" w:hAnsi="Calibri"/>
          <w:sz w:val="20"/>
          <w:lang w:val="fr-FR"/>
        </w:rPr>
        <w:t>, bloc dans Plan &amp; usage, popup de rappel périodique pour avocat / admin cabinet. Migration base 034 (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referral_code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,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cabinet_referrals</w:t>
      </w:r>
      <w:proofErr w:type="spellEnd"/>
      <w:r w:rsidRPr="00EA74C4">
        <w:rPr>
          <w:rFonts w:ascii="Calibri" w:eastAsia="Calibri" w:hAnsi="Calibri"/>
          <w:sz w:val="20"/>
          <w:lang w:val="fr-FR"/>
        </w:rPr>
        <w:t>) appliquée.</w:t>
      </w:r>
    </w:p>
    <w:p w14:paraId="06A90CC2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lastRenderedPageBreak/>
        <w:t xml:space="preserve">En français simple : un cabinet invite un confrère. Le nouveau gagne du temps d’essai. L’ancien </w:t>
      </w:r>
      <w:r w:rsidRPr="00EA74C4">
        <w:rPr>
          <w:rFonts w:ascii="Calibri" w:eastAsia="Calibri" w:hAnsi="Calibri"/>
          <w:sz w:val="20"/>
          <w:lang w:val="fr-FR"/>
        </w:rPr>
        <w:t>gagne un mois offert seulement quand le nouveau paie vraiment. Pas d’argent cash versé : ce sont des jours d’abonnement ajoutés automatiquement.</w:t>
      </w:r>
    </w:p>
    <w:p w14:paraId="1E5B2254" w14:textId="77777777" w:rsidR="00277A29" w:rsidRPr="00EA74C4" w:rsidRDefault="006D2FBE">
      <w:pPr>
        <w:pStyle w:val="Heading2"/>
        <w:rPr>
          <w:lang w:val="fr-FR"/>
        </w:rPr>
      </w:pPr>
      <w:r w:rsidRPr="00EA74C4">
        <w:rPr>
          <w:color w:val="0A1228"/>
          <w:lang w:val="fr-FR"/>
        </w:rPr>
        <w:t>6.1 Parcours exact (déjà codé)</w:t>
      </w:r>
    </w:p>
    <w:p w14:paraId="2940BEAB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1. Chaque cabinet obtient un code unique (ex. LH-CABINE-XXXX) via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ensure_referra</w:t>
      </w:r>
      <w:r w:rsidRPr="00EA74C4">
        <w:rPr>
          <w:rFonts w:ascii="Calibri" w:eastAsia="Calibri" w:hAnsi="Calibri"/>
          <w:sz w:val="20"/>
          <w:lang w:val="fr-FR"/>
        </w:rPr>
        <w:t>l_code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— créé au premier affichage Plan &amp; usage / API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EA74C4">
        <w:rPr>
          <w:rFonts w:ascii="Calibri" w:eastAsia="Calibri" w:hAnsi="Calibri"/>
          <w:sz w:val="20"/>
          <w:lang w:val="fr-FR"/>
        </w:rPr>
        <w:t>.</w:t>
      </w:r>
    </w:p>
    <w:p w14:paraId="33DF6AE8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2. Le parrain copie le code ou le lien https://lexhub.space/login?tab=register&amp;ref=CODE.</w:t>
      </w:r>
    </w:p>
    <w:p w14:paraId="1D151662" w14:textId="77777777" w:rsidR="00277A29" w:rsidRDefault="006D2FBE">
      <w:pPr>
        <w:spacing w:after="120" w:line="240" w:lineRule="auto"/>
      </w:pPr>
      <w:r w:rsidRPr="00EA74C4">
        <w:rPr>
          <w:rFonts w:ascii="Calibri" w:eastAsia="Calibri" w:hAnsi="Calibri"/>
          <w:sz w:val="20"/>
          <w:lang w:val="fr-FR"/>
        </w:rPr>
        <w:t xml:space="preserve">3. Le filleul s’inscrit avec ce code. </w:t>
      </w:r>
      <w:proofErr w:type="spellStart"/>
      <w:r>
        <w:rPr>
          <w:rFonts w:ascii="Calibri" w:eastAsia="Calibri" w:hAnsi="Calibri"/>
          <w:sz w:val="20"/>
        </w:rPr>
        <w:t>LexHub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enregistre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referred_by_cabinet_id</w:t>
      </w:r>
      <w:proofErr w:type="spellEnd"/>
      <w:r>
        <w:rPr>
          <w:rFonts w:ascii="Calibri" w:eastAsia="Calibri" w:hAnsi="Calibri"/>
          <w:sz w:val="20"/>
        </w:rPr>
        <w:t xml:space="preserve"> + une ligne cabinet_refe</w:t>
      </w:r>
      <w:r>
        <w:rPr>
          <w:rFonts w:ascii="Calibri" w:eastAsia="Calibri" w:hAnsi="Calibri"/>
          <w:sz w:val="20"/>
        </w:rPr>
        <w:t>rrals (status pending).</w:t>
      </w:r>
    </w:p>
    <w:p w14:paraId="4D0867BF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4. Quand le filleul choisit Solo ou Cabinet et commence son essai (carte enregistrée, 0 MAD pendant l’essai) :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LexHub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lui ajoute automatiquement 14 jours d’essai en plus. Une seule fois par filleul.</w:t>
      </w:r>
    </w:p>
    <w:p w14:paraId="5680E26D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5. Quand le filleul passe en abon</w:t>
      </w:r>
      <w:r w:rsidRPr="00EA74C4">
        <w:rPr>
          <w:rFonts w:ascii="Calibri" w:eastAsia="Calibri" w:hAnsi="Calibri"/>
          <w:sz w:val="20"/>
          <w:lang w:val="fr-FR"/>
        </w:rPr>
        <w:t xml:space="preserve">nement payant actif (fin d’essai convertie ou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select_plan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payant) : le parrain reçoit +30 jours sur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current_period_end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(une fois,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referrer_reward_applied</w:t>
      </w:r>
      <w:proofErr w:type="spellEnd"/>
      <w:r w:rsidRPr="00EA74C4">
        <w:rPr>
          <w:rFonts w:ascii="Calibri" w:eastAsia="Calibri" w:hAnsi="Calibri"/>
          <w:sz w:val="20"/>
          <w:lang w:val="fr-FR"/>
        </w:rPr>
        <w:t>).</w:t>
      </w:r>
    </w:p>
    <w:p w14:paraId="297B59D9" w14:textId="77777777" w:rsidR="00277A29" w:rsidRDefault="006D2FBE">
      <w:pPr>
        <w:spacing w:after="120" w:line="240" w:lineRule="auto"/>
      </w:pPr>
      <w:r w:rsidRPr="00EA74C4">
        <w:rPr>
          <w:rFonts w:ascii="Calibri" w:eastAsia="Calibri" w:hAnsi="Calibri"/>
          <w:sz w:val="20"/>
          <w:lang w:val="fr-FR"/>
        </w:rPr>
        <w:t xml:space="preserve">6. Si le filleul annule avant la fin d’essai : pas de paiement → le parrain ne reçoit rien. </w:t>
      </w:r>
      <w:proofErr w:type="spellStart"/>
      <w:r>
        <w:rPr>
          <w:rFonts w:ascii="Calibri" w:eastAsia="Calibri" w:hAnsi="Calibri"/>
          <w:sz w:val="20"/>
        </w:rPr>
        <w:t>C’est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vo</w:t>
      </w:r>
      <w:r>
        <w:rPr>
          <w:rFonts w:ascii="Calibri" w:eastAsia="Calibri" w:hAnsi="Calibri"/>
          <w:sz w:val="20"/>
        </w:rPr>
        <w:t>ulu</w:t>
      </w:r>
      <w:proofErr w:type="spellEnd"/>
      <w:r>
        <w:rPr>
          <w:rFonts w:ascii="Calibri" w:eastAsia="Calibri" w:hAnsi="Calibri"/>
          <w:sz w:val="20"/>
        </w:rPr>
        <w:t>.</w:t>
      </w:r>
    </w:p>
    <w:p w14:paraId="7C32A309" w14:textId="77777777" w:rsidR="00277A29" w:rsidRDefault="006D2FBE">
      <w:pPr>
        <w:pStyle w:val="Heading2"/>
      </w:pPr>
      <w:r>
        <w:rPr>
          <w:color w:val="0A1228"/>
        </w:rPr>
        <w:t>6.2 Règles anti-abus déjà enforced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77A29" w14:paraId="2A1F90F2" w14:textId="77777777">
        <w:tc>
          <w:tcPr>
            <w:tcW w:w="4986" w:type="dxa"/>
            <w:shd w:val="clear" w:color="auto" w:fill="0A1228"/>
          </w:tcPr>
          <w:p w14:paraId="3DA57BDE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Règle</w:t>
            </w:r>
          </w:p>
        </w:tc>
        <w:tc>
          <w:tcPr>
            <w:tcW w:w="4986" w:type="dxa"/>
            <w:shd w:val="clear" w:color="auto" w:fill="0A1228"/>
          </w:tcPr>
          <w:p w14:paraId="108DC732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Implémentation actuelle</w:t>
            </w:r>
          </w:p>
        </w:tc>
      </w:tr>
      <w:tr w:rsidR="00277A29" w:rsidRPr="00EA74C4" w14:paraId="2B1FB1C1" w14:textId="77777777">
        <w:tc>
          <w:tcPr>
            <w:tcW w:w="4986" w:type="dxa"/>
          </w:tcPr>
          <w:p w14:paraId="18086E35" w14:textId="77777777" w:rsidR="00277A29" w:rsidRDefault="006D2FBE">
            <w:r>
              <w:rPr>
                <w:rFonts w:ascii="Calibri" w:eastAsia="Calibri" w:hAnsi="Calibri"/>
                <w:sz w:val="18"/>
              </w:rPr>
              <w:t>Périmètre</w:t>
            </w:r>
          </w:p>
        </w:tc>
        <w:tc>
          <w:tcPr>
            <w:tcW w:w="4986" w:type="dxa"/>
          </w:tcPr>
          <w:p w14:paraId="16789603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Cabinet → cabinet uniquement (code lié au cabinet, pas à un user </w:t>
            </w:r>
            <w:proofErr w:type="gramStart"/>
            <w:r w:rsidRPr="00EA74C4">
              <w:rPr>
                <w:rFonts w:ascii="Calibri" w:eastAsia="Calibri" w:hAnsi="Calibri"/>
                <w:sz w:val="18"/>
                <w:lang w:val="fr-FR"/>
              </w:rPr>
              <w:t>isolé</w:t>
            </w:r>
            <w:proofErr w:type="gramEnd"/>
            <w:r w:rsidRPr="00EA74C4">
              <w:rPr>
                <w:rFonts w:ascii="Calibri" w:eastAsia="Calibri" w:hAnsi="Calibri"/>
                <w:sz w:val="18"/>
                <w:lang w:val="fr-FR"/>
              </w:rPr>
              <w:t>).</w:t>
            </w:r>
          </w:p>
        </w:tc>
      </w:tr>
      <w:tr w:rsidR="00277A29" w:rsidRPr="00EA74C4" w14:paraId="1A56DE32" w14:textId="77777777">
        <w:tc>
          <w:tcPr>
            <w:tcW w:w="4986" w:type="dxa"/>
            <w:shd w:val="clear" w:color="auto" w:fill="EEF1F8"/>
          </w:tcPr>
          <w:p w14:paraId="79F30995" w14:textId="77777777" w:rsidR="00277A29" w:rsidRDefault="006D2FBE">
            <w:r>
              <w:rPr>
                <w:rFonts w:ascii="Calibri" w:eastAsia="Calibri" w:hAnsi="Calibri"/>
                <w:sz w:val="18"/>
              </w:rPr>
              <w:t>Auto-</w:t>
            </w:r>
            <w:proofErr w:type="spellStart"/>
            <w:r>
              <w:rPr>
                <w:rFonts w:ascii="Calibri" w:eastAsia="Calibri" w:hAnsi="Calibri"/>
                <w:sz w:val="18"/>
              </w:rPr>
              <w:t>parrainage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7BC39C7A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Refusé si referrer.id == nouveau cabinet.</w:t>
            </w:r>
          </w:p>
        </w:tc>
      </w:tr>
      <w:tr w:rsidR="00277A29" w:rsidRPr="00EA74C4" w14:paraId="32CBBFAF" w14:textId="77777777">
        <w:tc>
          <w:tcPr>
            <w:tcW w:w="4986" w:type="dxa"/>
          </w:tcPr>
          <w:p w14:paraId="1196F0F8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Code </w:t>
            </w:r>
            <w:proofErr w:type="spellStart"/>
            <w:r>
              <w:rPr>
                <w:rFonts w:ascii="Calibri" w:eastAsia="Calibri" w:hAnsi="Calibri"/>
                <w:sz w:val="18"/>
              </w:rPr>
              <w:t>invalide</w:t>
            </w:r>
            <w:proofErr w:type="spellEnd"/>
          </w:p>
        </w:tc>
        <w:tc>
          <w:tcPr>
            <w:tcW w:w="4986" w:type="dxa"/>
          </w:tcPr>
          <w:p w14:paraId="66A71489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HTTP 400 à 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>l’inscription (« Code de parrainage invalide »).</w:t>
            </w:r>
          </w:p>
        </w:tc>
      </w:tr>
      <w:tr w:rsidR="00277A29" w:rsidRPr="00EA74C4" w14:paraId="38DA5E36" w14:textId="77777777">
        <w:tc>
          <w:tcPr>
            <w:tcW w:w="4986" w:type="dxa"/>
            <w:shd w:val="clear" w:color="auto" w:fill="EEF1F8"/>
          </w:tcPr>
          <w:p w14:paraId="4D857656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Bonus </w:t>
            </w:r>
            <w:proofErr w:type="spellStart"/>
            <w:r>
              <w:rPr>
                <w:rFonts w:ascii="Calibri" w:eastAsia="Calibri" w:hAnsi="Calibri"/>
                <w:sz w:val="18"/>
              </w:rPr>
              <w:t>filleul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1419B250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+14 jours, une seule fois par filleul.</w:t>
            </w:r>
          </w:p>
        </w:tc>
      </w:tr>
      <w:tr w:rsidR="00277A29" w:rsidRPr="00EA74C4" w14:paraId="42862A3B" w14:textId="77777777">
        <w:tc>
          <w:tcPr>
            <w:tcW w:w="4986" w:type="dxa"/>
          </w:tcPr>
          <w:p w14:paraId="2C5D0B78" w14:textId="77777777" w:rsidR="00277A29" w:rsidRDefault="006D2FBE">
            <w:proofErr w:type="spellStart"/>
            <w:r>
              <w:rPr>
                <w:rFonts w:ascii="Calibri" w:eastAsia="Calibri" w:hAnsi="Calibri"/>
                <w:sz w:val="18"/>
              </w:rPr>
              <w:t>Récompense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parrain</w:t>
            </w:r>
            <w:proofErr w:type="spellEnd"/>
          </w:p>
        </w:tc>
        <w:tc>
          <w:tcPr>
            <w:tcW w:w="4986" w:type="dxa"/>
          </w:tcPr>
          <w:p w14:paraId="088DC9DF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+30 jours, une seule fois par filleul, au paiement réel.</w:t>
            </w:r>
          </w:p>
        </w:tc>
      </w:tr>
      <w:tr w:rsidR="00277A29" w14:paraId="3360C74B" w14:textId="77777777">
        <w:tc>
          <w:tcPr>
            <w:tcW w:w="4986" w:type="dxa"/>
            <w:shd w:val="clear" w:color="auto" w:fill="EEF1F8"/>
          </w:tcPr>
          <w:p w14:paraId="300EF872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Plafond </w:t>
            </w:r>
            <w:proofErr w:type="spellStart"/>
            <w:r>
              <w:rPr>
                <w:rFonts w:ascii="Calibri" w:eastAsia="Calibri" w:hAnsi="Calibri"/>
                <w:sz w:val="18"/>
              </w:rPr>
              <w:t>annuel</w:t>
            </w:r>
            <w:proofErr w:type="spellEnd"/>
          </w:p>
        </w:tc>
        <w:tc>
          <w:tcPr>
            <w:tcW w:w="4986" w:type="dxa"/>
            <w:shd w:val="clear" w:color="auto" w:fill="EEF1F8"/>
          </w:tcPr>
          <w:p w14:paraId="495DED2E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Max 12 lignes cabinet_referrals créées / an / parrain </w:t>
            </w:r>
            <w:r>
              <w:rPr>
                <w:rFonts w:ascii="Calibri" w:eastAsia="Calibri" w:hAnsi="Calibri"/>
                <w:sz w:val="18"/>
              </w:rPr>
              <w:t>(MAX_ACTIVE_REFERRALS_PER_YEAR).</w:t>
            </w:r>
          </w:p>
        </w:tc>
      </w:tr>
      <w:tr w:rsidR="00277A29" w14:paraId="78FE9D5A" w14:textId="77777777">
        <w:tc>
          <w:tcPr>
            <w:tcW w:w="4986" w:type="dxa"/>
          </w:tcPr>
          <w:p w14:paraId="22CA49F6" w14:textId="77777777" w:rsidR="00277A29" w:rsidRDefault="006D2FBE">
            <w:r>
              <w:rPr>
                <w:rFonts w:ascii="Calibri" w:eastAsia="Calibri" w:hAnsi="Calibri"/>
                <w:sz w:val="18"/>
              </w:rPr>
              <w:t>UI parrain</w:t>
            </w:r>
          </w:p>
        </w:tc>
        <w:tc>
          <w:tcPr>
            <w:tcW w:w="4986" w:type="dxa"/>
          </w:tcPr>
          <w:p w14:paraId="4584214F" w14:textId="77777777" w:rsidR="00277A29" w:rsidRDefault="006D2FBE">
            <w:r>
              <w:rPr>
                <w:rFonts w:ascii="Calibri" w:eastAsia="Calibri" w:hAnsi="Calibri"/>
                <w:sz w:val="18"/>
              </w:rPr>
              <w:t>Code + lien + stats (invites / pending / rewarded) dans Plan &amp; usage.</w:t>
            </w:r>
          </w:p>
        </w:tc>
      </w:tr>
      <w:tr w:rsidR="00277A29" w14:paraId="631A833D" w14:textId="77777777">
        <w:tc>
          <w:tcPr>
            <w:tcW w:w="4986" w:type="dxa"/>
            <w:shd w:val="clear" w:color="auto" w:fill="EEF1F8"/>
          </w:tcPr>
          <w:p w14:paraId="5AE774BD" w14:textId="77777777" w:rsidR="00277A29" w:rsidRDefault="006D2FBE">
            <w:r>
              <w:rPr>
                <w:rFonts w:ascii="Calibri" w:eastAsia="Calibri" w:hAnsi="Calibri"/>
                <w:sz w:val="18"/>
              </w:rPr>
              <w:t>Rappel produit</w:t>
            </w:r>
          </w:p>
        </w:tc>
        <w:tc>
          <w:tcPr>
            <w:tcW w:w="4986" w:type="dxa"/>
            <w:shd w:val="clear" w:color="auto" w:fill="EEF1F8"/>
          </w:tcPr>
          <w:p w14:paraId="7C7657FD" w14:textId="77777777" w:rsidR="00277A29" w:rsidRDefault="006D2FBE">
            <w:r>
              <w:rPr>
                <w:rFonts w:ascii="Calibri" w:eastAsia="Calibri" w:hAnsi="Calibri"/>
                <w:sz w:val="18"/>
              </w:rPr>
              <w:t>Popup LexProductModal ~40 s après connexion, cooldown localStorage ~5 jours.</w:t>
            </w:r>
          </w:p>
        </w:tc>
      </w:tr>
    </w:tbl>
    <w:p w14:paraId="0B299E98" w14:textId="77777777" w:rsidR="00277A29" w:rsidRDefault="00277A29"/>
    <w:p w14:paraId="56B5E21E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Intérêt économique déjà aligné : CAC bas (pas </w:t>
      </w:r>
      <w:r w:rsidRPr="00EA74C4">
        <w:rPr>
          <w:rFonts w:ascii="Calibri" w:eastAsia="Calibri" w:hAnsi="Calibri"/>
          <w:sz w:val="20"/>
          <w:lang w:val="fr-FR"/>
        </w:rPr>
        <w:t>de cashback), récompense conditionnée au revenu, plafond annuel contre les fermes de comptes. C’est un levier de croissance déjà branché, pas un concept.</w:t>
      </w:r>
    </w:p>
    <w:p w14:paraId="1AB07BE2" w14:textId="77777777" w:rsidR="00277A29" w:rsidRPr="00EA74C4" w:rsidRDefault="006D2FBE">
      <w:pPr>
        <w:pStyle w:val="Heading1"/>
        <w:rPr>
          <w:lang w:val="fr-FR"/>
        </w:rPr>
      </w:pPr>
      <w:r w:rsidRPr="00EA74C4">
        <w:rPr>
          <w:color w:val="0A1228"/>
          <w:lang w:val="fr-FR"/>
        </w:rPr>
        <w:t>7. Fidélisation commerciale (procédure WEBVOICE)</w:t>
      </w:r>
    </w:p>
    <w:p w14:paraId="7F8D3E8D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Les règles produit (quotas, essais, parrainage, usage</w:t>
      </w:r>
      <w:r w:rsidRPr="00EA74C4">
        <w:rPr>
          <w:rFonts w:ascii="Calibri" w:eastAsia="Calibri" w:hAnsi="Calibri"/>
          <w:sz w:val="20"/>
          <w:lang w:val="fr-FR"/>
        </w:rPr>
        <w:t xml:space="preserve"> à la demande) sont dans le code. Les gestes commerciaux ci-dessous sont la procédure humaine WEBVOICE pour retenir un client payant sans republier une grille promo sur /tarifs. Une offre max par client / 12 mois ; remises tracées en facturation.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77A29" w14:paraId="7F5588E2" w14:textId="77777777">
        <w:tc>
          <w:tcPr>
            <w:tcW w:w="4986" w:type="dxa"/>
            <w:shd w:val="clear" w:color="auto" w:fill="0A1228"/>
          </w:tcPr>
          <w:p w14:paraId="68A5A2ED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Situation</w:t>
            </w:r>
          </w:p>
        </w:tc>
        <w:tc>
          <w:tcPr>
            <w:tcW w:w="4986" w:type="dxa"/>
            <w:shd w:val="clear" w:color="auto" w:fill="0A1228"/>
          </w:tcPr>
          <w:p w14:paraId="35685A1B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Offre proposée</w:t>
            </w:r>
          </w:p>
        </w:tc>
      </w:tr>
      <w:tr w:rsidR="00277A29" w:rsidRPr="00EA74C4" w14:paraId="6D6E09C4" w14:textId="77777777">
        <w:tc>
          <w:tcPr>
            <w:tcW w:w="4986" w:type="dxa"/>
          </w:tcPr>
          <w:p w14:paraId="0F714675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Solo payant ≥ 6 mois, demande d’annulation</w:t>
            </w:r>
          </w:p>
        </w:tc>
        <w:tc>
          <w:tcPr>
            <w:tcW w:w="4986" w:type="dxa"/>
          </w:tcPr>
          <w:p w14:paraId="07A8AFD4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1 mois offert OU −20 % sur le prochain trimestre</w:t>
            </w:r>
          </w:p>
        </w:tc>
      </w:tr>
      <w:tr w:rsidR="00277A29" w:rsidRPr="00EA74C4" w14:paraId="074F9046" w14:textId="77777777">
        <w:tc>
          <w:tcPr>
            <w:tcW w:w="4986" w:type="dxa"/>
            <w:shd w:val="clear" w:color="auto" w:fill="EEF1F8"/>
          </w:tcPr>
          <w:p w14:paraId="3179956C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Cabinet payant ≥ 6 mois, ≥ 3 sièges utilisés</w:t>
            </w:r>
          </w:p>
        </w:tc>
        <w:tc>
          <w:tcPr>
            <w:tcW w:w="4986" w:type="dxa"/>
            <w:shd w:val="clear" w:color="auto" w:fill="EEF1F8"/>
          </w:tcPr>
          <w:p w14:paraId="20661565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1 mois offert OU bonus sur passage annuel</w:t>
            </w:r>
          </w:p>
        </w:tc>
      </w:tr>
      <w:tr w:rsidR="00277A29" w:rsidRPr="00EA74C4" w14:paraId="1D221B5F" w14:textId="77777777">
        <w:tc>
          <w:tcPr>
            <w:tcW w:w="4986" w:type="dxa"/>
          </w:tcPr>
          <w:p w14:paraId="125E72F9" w14:textId="77777777" w:rsidR="00277A29" w:rsidRDefault="006D2FBE">
            <w:proofErr w:type="spellStart"/>
            <w:r>
              <w:rPr>
                <w:rFonts w:ascii="Calibri" w:eastAsia="Calibri" w:hAnsi="Calibri"/>
                <w:sz w:val="18"/>
              </w:rPr>
              <w:t>Entreprise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≥ 6 </w:t>
            </w:r>
            <w:proofErr w:type="spellStart"/>
            <w:r>
              <w:rPr>
                <w:rFonts w:ascii="Calibri" w:eastAsia="Calibri" w:hAnsi="Calibri"/>
                <w:sz w:val="18"/>
              </w:rPr>
              <w:t>mois</w:t>
            </w:r>
            <w:proofErr w:type="spellEnd"/>
          </w:p>
        </w:tc>
        <w:tc>
          <w:tcPr>
            <w:tcW w:w="4986" w:type="dxa"/>
          </w:tcPr>
          <w:p w14:paraId="4C6D6E02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Jusqu’à −15 % sur 3 mois OU +2 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>sièges assistants 1 mois</w:t>
            </w:r>
          </w:p>
        </w:tc>
      </w:tr>
      <w:tr w:rsidR="00277A29" w:rsidRPr="00EA74C4" w14:paraId="30E70F30" w14:textId="77777777">
        <w:tc>
          <w:tcPr>
            <w:tcW w:w="4986" w:type="dxa"/>
            <w:shd w:val="clear" w:color="auto" w:fill="EEF1F8"/>
          </w:tcPr>
          <w:p w14:paraId="4080BA6B" w14:textId="77777777" w:rsidR="00277A29" w:rsidRDefault="006D2FBE">
            <w:r>
              <w:rPr>
                <w:rFonts w:ascii="Calibri" w:eastAsia="Calibri" w:hAnsi="Calibri"/>
                <w:sz w:val="18"/>
              </w:rPr>
              <w:t xml:space="preserve">Motif « trop </w:t>
            </w:r>
            <w:proofErr w:type="spellStart"/>
            <w:r>
              <w:rPr>
                <w:rFonts w:ascii="Calibri" w:eastAsia="Calibri" w:hAnsi="Calibri"/>
                <w:sz w:val="18"/>
              </w:rPr>
              <w:t>cher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»</w:t>
            </w:r>
          </w:p>
        </w:tc>
        <w:tc>
          <w:tcPr>
            <w:tcW w:w="4986" w:type="dxa"/>
            <w:shd w:val="clear" w:color="auto" w:fill="EEF1F8"/>
          </w:tcPr>
          <w:p w14:paraId="257C6979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Downgrade assisté (Cabinet → Solo) plutôt qu’un prix public baissé</w:t>
            </w:r>
          </w:p>
        </w:tc>
      </w:tr>
      <w:tr w:rsidR="00277A29" w:rsidRPr="00EA74C4" w14:paraId="6D669FEF" w14:textId="77777777">
        <w:tc>
          <w:tcPr>
            <w:tcW w:w="4986" w:type="dxa"/>
          </w:tcPr>
          <w:p w14:paraId="2B3E822D" w14:textId="77777777" w:rsidR="00277A29" w:rsidRDefault="006D2FBE">
            <w:r>
              <w:rPr>
                <w:rFonts w:ascii="Calibri" w:eastAsia="Calibri" w:hAnsi="Calibri"/>
                <w:sz w:val="18"/>
              </w:rPr>
              <w:t>Motif « pause » (≥ 3 mois payants)</w:t>
            </w:r>
          </w:p>
        </w:tc>
        <w:tc>
          <w:tcPr>
            <w:tcW w:w="4986" w:type="dxa"/>
          </w:tcPr>
          <w:p w14:paraId="1814B4BE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Gel 30–60 jours sans perte de données</w:t>
            </w:r>
          </w:p>
        </w:tc>
      </w:tr>
      <w:tr w:rsidR="00277A29" w:rsidRPr="00EA74C4" w14:paraId="5AFA97DE" w14:textId="77777777">
        <w:tc>
          <w:tcPr>
            <w:tcW w:w="4986" w:type="dxa"/>
            <w:shd w:val="clear" w:color="auto" w:fill="EEF1F8"/>
          </w:tcPr>
          <w:p w14:paraId="15127589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>Win-back ≤ 90 j après départ</w:t>
            </w:r>
          </w:p>
        </w:tc>
        <w:tc>
          <w:tcPr>
            <w:tcW w:w="4986" w:type="dxa"/>
            <w:shd w:val="clear" w:color="auto" w:fill="EEF1F8"/>
          </w:tcPr>
          <w:p w14:paraId="0033B6DB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Réactivation avec 14 j d’essai du 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>dernier plan payant</w:t>
            </w:r>
          </w:p>
        </w:tc>
      </w:tr>
    </w:tbl>
    <w:p w14:paraId="70B7A09D" w14:textId="77777777" w:rsidR="00277A29" w:rsidRDefault="006D2FBE">
      <w:pPr>
        <w:pStyle w:val="Heading1"/>
      </w:pPr>
      <w:r>
        <w:rPr>
          <w:color w:val="0A1228"/>
        </w:rPr>
        <w:t>8. Indicateurs à suivre (</w:t>
      </w:r>
      <w:proofErr w:type="gramStart"/>
      <w:r>
        <w:rPr>
          <w:color w:val="0A1228"/>
        </w:rPr>
        <w:t>an</w:t>
      </w:r>
      <w:proofErr w:type="gramEnd"/>
      <w:r>
        <w:rPr>
          <w:color w:val="0A1228"/>
        </w:rPr>
        <w:t xml:space="preserve">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77A29" w14:paraId="15F79615" w14:textId="77777777">
        <w:tc>
          <w:tcPr>
            <w:tcW w:w="4986" w:type="dxa"/>
            <w:shd w:val="clear" w:color="auto" w:fill="0A1228"/>
          </w:tcPr>
          <w:p w14:paraId="4F99ABBC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Indicateur</w:t>
            </w:r>
          </w:p>
        </w:tc>
        <w:tc>
          <w:tcPr>
            <w:tcW w:w="4986" w:type="dxa"/>
            <w:shd w:val="clear" w:color="auto" w:fill="0A1228"/>
          </w:tcPr>
          <w:p w14:paraId="555E1925" w14:textId="77777777" w:rsidR="00277A29" w:rsidRDefault="006D2FBE">
            <w:r>
              <w:rPr>
                <w:rFonts w:ascii="Calibri" w:eastAsia="Calibri" w:hAnsi="Calibri"/>
                <w:b/>
                <w:color w:val="FFFFFF"/>
                <w:sz w:val="18"/>
              </w:rPr>
              <w:t>Cible indicative</w:t>
            </w:r>
          </w:p>
        </w:tc>
      </w:tr>
      <w:tr w:rsidR="00277A29" w14:paraId="0C7B1A3C" w14:textId="77777777">
        <w:tc>
          <w:tcPr>
            <w:tcW w:w="4986" w:type="dxa"/>
          </w:tcPr>
          <w:p w14:paraId="56455DD9" w14:textId="77777777" w:rsidR="00277A29" w:rsidRDefault="006D2FBE">
            <w:r>
              <w:rPr>
                <w:rFonts w:ascii="Calibri" w:eastAsia="Calibri" w:hAnsi="Calibri"/>
                <w:sz w:val="18"/>
              </w:rPr>
              <w:t>Conversion essai → payant (Cabinet)</w:t>
            </w:r>
          </w:p>
        </w:tc>
        <w:tc>
          <w:tcPr>
            <w:tcW w:w="4986" w:type="dxa"/>
          </w:tcPr>
          <w:p w14:paraId="3E2E2CD7" w14:textId="77777777" w:rsidR="00277A29" w:rsidRDefault="006D2FBE">
            <w:r>
              <w:rPr>
                <w:rFonts w:ascii="Calibri" w:eastAsia="Calibri" w:hAnsi="Calibri"/>
                <w:sz w:val="18"/>
              </w:rPr>
              <w:t>≥ 25 %</w:t>
            </w:r>
          </w:p>
        </w:tc>
      </w:tr>
      <w:tr w:rsidR="00277A29" w14:paraId="2AD2F295" w14:textId="77777777">
        <w:tc>
          <w:tcPr>
            <w:tcW w:w="4986" w:type="dxa"/>
            <w:shd w:val="clear" w:color="auto" w:fill="EEF1F8"/>
          </w:tcPr>
          <w:p w14:paraId="69AA3960" w14:textId="77777777" w:rsidR="00277A29" w:rsidRDefault="006D2FBE">
            <w:r>
              <w:rPr>
                <w:rFonts w:ascii="Calibri" w:eastAsia="Calibri" w:hAnsi="Calibri"/>
                <w:sz w:val="18"/>
              </w:rPr>
              <w:t>Part d’abonnements annuels</w:t>
            </w:r>
          </w:p>
        </w:tc>
        <w:tc>
          <w:tcPr>
            <w:tcW w:w="4986" w:type="dxa"/>
            <w:shd w:val="clear" w:color="auto" w:fill="EEF1F8"/>
          </w:tcPr>
          <w:p w14:paraId="4267FFF3" w14:textId="77777777" w:rsidR="00277A29" w:rsidRDefault="006D2FBE">
            <w:r>
              <w:rPr>
                <w:rFonts w:ascii="Calibri" w:eastAsia="Calibri" w:hAnsi="Calibri"/>
                <w:sz w:val="18"/>
              </w:rPr>
              <w:t>≥ 30 % du MRR</w:t>
            </w:r>
          </w:p>
        </w:tc>
      </w:tr>
      <w:tr w:rsidR="00277A29" w14:paraId="4F311E5C" w14:textId="77777777">
        <w:tc>
          <w:tcPr>
            <w:tcW w:w="4986" w:type="dxa"/>
          </w:tcPr>
          <w:p w14:paraId="79B107C8" w14:textId="77777777" w:rsidR="00277A29" w:rsidRDefault="006D2FBE">
            <w:r>
              <w:rPr>
                <w:rFonts w:ascii="Calibri" w:eastAsia="Calibri" w:hAnsi="Calibri"/>
                <w:sz w:val="18"/>
              </w:rPr>
              <w:lastRenderedPageBreak/>
              <w:t>Churn mensuel payant</w:t>
            </w:r>
          </w:p>
        </w:tc>
        <w:tc>
          <w:tcPr>
            <w:tcW w:w="4986" w:type="dxa"/>
          </w:tcPr>
          <w:p w14:paraId="178472B4" w14:textId="77777777" w:rsidR="00277A29" w:rsidRDefault="006D2FBE">
            <w:r>
              <w:rPr>
                <w:rFonts w:ascii="Calibri" w:eastAsia="Calibri" w:hAnsi="Calibri"/>
                <w:sz w:val="18"/>
              </w:rPr>
              <w:t>&lt; 5 %</w:t>
            </w:r>
          </w:p>
        </w:tc>
      </w:tr>
      <w:tr w:rsidR="00277A29" w14:paraId="46C97236" w14:textId="77777777">
        <w:tc>
          <w:tcPr>
            <w:tcW w:w="4986" w:type="dxa"/>
            <w:shd w:val="clear" w:color="auto" w:fill="EEF1F8"/>
          </w:tcPr>
          <w:p w14:paraId="2A668764" w14:textId="77777777" w:rsidR="00277A29" w:rsidRPr="00EA74C4" w:rsidRDefault="006D2FBE">
            <w:pPr>
              <w:rPr>
                <w:lang w:val="fr-FR"/>
              </w:rPr>
            </w:pPr>
            <w:r w:rsidRPr="00EA74C4">
              <w:rPr>
                <w:rFonts w:ascii="Calibri" w:eastAsia="Calibri" w:hAnsi="Calibri"/>
                <w:sz w:val="18"/>
                <w:lang w:val="fr-FR"/>
              </w:rPr>
              <w:t xml:space="preserve">Cabinets ayant affiché / partagé leur code </w:t>
            </w:r>
            <w:r w:rsidRPr="00EA74C4">
              <w:rPr>
                <w:rFonts w:ascii="Calibri" w:eastAsia="Calibri" w:hAnsi="Calibri"/>
                <w:sz w:val="18"/>
                <w:lang w:val="fr-FR"/>
              </w:rPr>
              <w:t>parrainage</w:t>
            </w:r>
          </w:p>
        </w:tc>
        <w:tc>
          <w:tcPr>
            <w:tcW w:w="4986" w:type="dxa"/>
            <w:shd w:val="clear" w:color="auto" w:fill="EEF1F8"/>
          </w:tcPr>
          <w:p w14:paraId="3A64C43F" w14:textId="77777777" w:rsidR="00277A29" w:rsidRDefault="006D2FBE">
            <w:r>
              <w:rPr>
                <w:rFonts w:ascii="Calibri" w:eastAsia="Calibri" w:hAnsi="Calibri"/>
                <w:sz w:val="18"/>
              </w:rPr>
              <w:t>≥ 40 %</w:t>
            </w:r>
          </w:p>
        </w:tc>
      </w:tr>
      <w:tr w:rsidR="00277A29" w14:paraId="27A3B35F" w14:textId="77777777">
        <w:tc>
          <w:tcPr>
            <w:tcW w:w="4986" w:type="dxa"/>
          </w:tcPr>
          <w:p w14:paraId="392F6CD7" w14:textId="77777777" w:rsidR="00277A29" w:rsidRDefault="006D2FBE">
            <w:r>
              <w:rPr>
                <w:rFonts w:ascii="Calibri" w:eastAsia="Calibri" w:hAnsi="Calibri"/>
                <w:sz w:val="18"/>
              </w:rPr>
              <w:t>Filleuls devenus payants / invitations</w:t>
            </w:r>
          </w:p>
        </w:tc>
        <w:tc>
          <w:tcPr>
            <w:tcW w:w="4986" w:type="dxa"/>
          </w:tcPr>
          <w:p w14:paraId="6B6F4B2B" w14:textId="77777777" w:rsidR="00277A29" w:rsidRDefault="006D2FBE">
            <w:r>
              <w:rPr>
                <w:rFonts w:ascii="Calibri" w:eastAsia="Calibri" w:hAnsi="Calibri"/>
                <w:sz w:val="18"/>
              </w:rPr>
              <w:t>≥ 20 %</w:t>
            </w:r>
          </w:p>
        </w:tc>
      </w:tr>
      <w:tr w:rsidR="00277A29" w14:paraId="7ED69881" w14:textId="77777777">
        <w:tc>
          <w:tcPr>
            <w:tcW w:w="4986" w:type="dxa"/>
            <w:shd w:val="clear" w:color="auto" w:fill="EEF1F8"/>
          </w:tcPr>
          <w:p w14:paraId="4E251C00" w14:textId="77777777" w:rsidR="00277A29" w:rsidRDefault="006D2FBE">
            <w:r>
              <w:rPr>
                <w:rFonts w:ascii="Calibri" w:eastAsia="Calibri" w:hAnsi="Calibri"/>
                <w:sz w:val="18"/>
              </w:rPr>
              <w:t>Acceptation offre de rétention</w:t>
            </w:r>
          </w:p>
        </w:tc>
        <w:tc>
          <w:tcPr>
            <w:tcW w:w="4986" w:type="dxa"/>
            <w:shd w:val="clear" w:color="auto" w:fill="EEF1F8"/>
          </w:tcPr>
          <w:p w14:paraId="00B019B3" w14:textId="77777777" w:rsidR="00277A29" w:rsidRDefault="006D2FBE">
            <w:r>
              <w:rPr>
                <w:rFonts w:ascii="Calibri" w:eastAsia="Calibri" w:hAnsi="Calibri"/>
                <w:sz w:val="18"/>
              </w:rPr>
              <w:t>≥ 35 % des demandes éligibles</w:t>
            </w:r>
          </w:p>
        </w:tc>
      </w:tr>
      <w:tr w:rsidR="00277A29" w14:paraId="2EFC3118" w14:textId="77777777">
        <w:tc>
          <w:tcPr>
            <w:tcW w:w="4986" w:type="dxa"/>
          </w:tcPr>
          <w:p w14:paraId="09A57AB7" w14:textId="77777777" w:rsidR="00277A29" w:rsidRDefault="006D2FBE">
            <w:r>
              <w:rPr>
                <w:rFonts w:ascii="Calibri" w:eastAsia="Calibri" w:hAnsi="Calibri"/>
                <w:sz w:val="18"/>
              </w:rPr>
              <w:t>Upsell Solo → Cabinet (&gt; 3 mois)</w:t>
            </w:r>
          </w:p>
        </w:tc>
        <w:tc>
          <w:tcPr>
            <w:tcW w:w="4986" w:type="dxa"/>
          </w:tcPr>
          <w:p w14:paraId="2C616213" w14:textId="77777777" w:rsidR="00277A29" w:rsidRDefault="006D2FBE">
            <w:r>
              <w:rPr>
                <w:rFonts w:ascii="Calibri" w:eastAsia="Calibri" w:hAnsi="Calibri"/>
                <w:sz w:val="18"/>
              </w:rPr>
              <w:t>≥ 15 %</w:t>
            </w:r>
          </w:p>
        </w:tc>
      </w:tr>
    </w:tbl>
    <w:p w14:paraId="1BF4366B" w14:textId="77777777" w:rsidR="00277A29" w:rsidRDefault="00277A29"/>
    <w:p w14:paraId="02D87267" w14:textId="7F3DAFB5" w:rsidR="00277A29" w:rsidRDefault="006D2FBE">
      <w:pPr>
        <w:pStyle w:val="Heading1"/>
      </w:pPr>
      <w:r>
        <w:rPr>
          <w:color w:val="0A1228"/>
        </w:rPr>
        <w:t xml:space="preserve">9. Synthèse </w:t>
      </w:r>
      <w:r w:rsidR="00EA74C4">
        <w:rPr>
          <w:color w:val="0A1228"/>
        </w:rPr>
        <w:t xml:space="preserve"> </w:t>
      </w:r>
    </w:p>
    <w:p w14:paraId="44A9907E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b/>
          <w:sz w:val="20"/>
          <w:lang w:val="fr-FR"/>
        </w:rPr>
        <w:t xml:space="preserve">Tout ce qui suit est déjà en production sur </w:t>
      </w:r>
      <w:r w:rsidRPr="00EA74C4">
        <w:rPr>
          <w:rFonts w:ascii="Calibri" w:eastAsia="Calibri" w:hAnsi="Calibri"/>
          <w:b/>
          <w:sz w:val="20"/>
          <w:lang w:val="fr-FR"/>
        </w:rPr>
        <w:t>https://lexhub.space :</w:t>
      </w:r>
    </w:p>
    <w:p w14:paraId="3818F8A9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Grille 0 / 299 / 699 / 1 290 MAD + essais + quotas détaillés.</w:t>
      </w:r>
    </w:p>
    <w:p w14:paraId="31082F6E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 xml:space="preserve">Essais carte 14 / 30 jours, retour Découverte, résiliation motif, grâce </w:t>
      </w:r>
      <w:proofErr w:type="spellStart"/>
      <w:r w:rsidRPr="00EA74C4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EA74C4">
        <w:rPr>
          <w:rFonts w:ascii="Calibri" w:eastAsia="Calibri" w:hAnsi="Calibri"/>
          <w:sz w:val="20"/>
          <w:lang w:val="fr-FR"/>
        </w:rPr>
        <w:t xml:space="preserve"> 7 j.</w:t>
      </w:r>
    </w:p>
    <w:p w14:paraId="2210661B" w14:textId="77777777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Usage à la demande OFF par défaut, 0,25 MAD/crédit, plafonds MAD optionnels, UI clair</w:t>
      </w:r>
      <w:r w:rsidRPr="00EA74C4">
        <w:rPr>
          <w:rFonts w:ascii="Calibri" w:eastAsia="Calibri" w:hAnsi="Calibri"/>
          <w:sz w:val="20"/>
          <w:lang w:val="fr-FR"/>
        </w:rPr>
        <w:t>e.</w:t>
      </w:r>
    </w:p>
    <w:p w14:paraId="6A29D6CC" w14:textId="50BC301D" w:rsidR="00277A29" w:rsidRPr="00EA74C4" w:rsidRDefault="006D2FBE">
      <w:pPr>
        <w:pStyle w:val="ListBullet"/>
        <w:spacing w:after="60"/>
        <w:rPr>
          <w:lang w:val="fr-FR"/>
        </w:rPr>
      </w:pPr>
      <w:r w:rsidRPr="00EA74C4">
        <w:rPr>
          <w:rFonts w:ascii="Calibri" w:eastAsia="Calibri" w:hAnsi="Calibri"/>
          <w:sz w:val="20"/>
          <w:lang w:val="fr-FR"/>
        </w:rPr>
        <w:t>Parrainage cabinet → cabinet : +14 j filleul / +30 j parrain au paiement, plafond 12/an, UI + landing + popup.</w:t>
      </w:r>
    </w:p>
    <w:p w14:paraId="5E8EB69A" w14:textId="77777777" w:rsidR="00EA74C4" w:rsidRPr="00EA74C4" w:rsidRDefault="00EA74C4" w:rsidP="00EA74C4">
      <w:pPr>
        <w:pStyle w:val="ListBullet"/>
        <w:numPr>
          <w:ilvl w:val="0"/>
          <w:numId w:val="0"/>
        </w:numPr>
        <w:spacing w:after="60"/>
        <w:ind w:left="360"/>
        <w:rPr>
          <w:lang w:val="fr-FR"/>
        </w:rPr>
      </w:pPr>
    </w:p>
    <w:p w14:paraId="62224AC4" w14:textId="77777777" w:rsidR="00277A29" w:rsidRPr="00EA74C4" w:rsidRDefault="006D2FBE">
      <w:pPr>
        <w:spacing w:after="120" w:line="240" w:lineRule="auto"/>
        <w:rPr>
          <w:lang w:val="fr-FR"/>
        </w:rPr>
      </w:pPr>
      <w:r w:rsidRPr="00EA74C4">
        <w:rPr>
          <w:rFonts w:ascii="Calibri" w:eastAsia="Calibri" w:hAnsi="Calibri"/>
          <w:sz w:val="20"/>
          <w:highlight w:val="yellow"/>
          <w:lang w:val="fr-FR"/>
        </w:rPr>
        <w:t xml:space="preserve">Priorités restantes côté business / </w:t>
      </w:r>
      <w:proofErr w:type="spellStart"/>
      <w:r w:rsidRPr="00EA74C4">
        <w:rPr>
          <w:rFonts w:ascii="Calibri" w:eastAsia="Calibri" w:hAnsi="Calibri"/>
          <w:sz w:val="20"/>
          <w:highlight w:val="yellow"/>
          <w:lang w:val="fr-FR"/>
        </w:rPr>
        <w:t>ops</w:t>
      </w:r>
      <w:proofErr w:type="spellEnd"/>
      <w:r w:rsidRPr="00EA74C4">
        <w:rPr>
          <w:rFonts w:ascii="Calibri" w:eastAsia="Calibri" w:hAnsi="Calibri"/>
          <w:sz w:val="20"/>
          <w:highlight w:val="yellow"/>
          <w:lang w:val="fr-FR"/>
        </w:rPr>
        <w:t xml:space="preserve"> (pas produit manquant) : finaliser l’activation opérateur CMI/</w:t>
      </w:r>
      <w:proofErr w:type="spellStart"/>
      <w:r w:rsidRPr="00EA74C4">
        <w:rPr>
          <w:rFonts w:ascii="Calibri" w:eastAsia="Calibri" w:hAnsi="Calibri"/>
          <w:sz w:val="20"/>
          <w:highlight w:val="yellow"/>
          <w:lang w:val="fr-FR"/>
        </w:rPr>
        <w:t>PayZone</w:t>
      </w:r>
      <w:proofErr w:type="spellEnd"/>
      <w:r w:rsidRPr="00EA74C4">
        <w:rPr>
          <w:rFonts w:ascii="Calibri" w:eastAsia="Calibri" w:hAnsi="Calibri"/>
          <w:sz w:val="20"/>
          <w:highlight w:val="yellow"/>
          <w:lang w:val="fr-FR"/>
        </w:rPr>
        <w:t>, appliquer la procédure de réten</w:t>
      </w:r>
      <w:r w:rsidRPr="00EA74C4">
        <w:rPr>
          <w:rFonts w:ascii="Calibri" w:eastAsia="Calibri" w:hAnsi="Calibri"/>
          <w:sz w:val="20"/>
          <w:highlight w:val="yellow"/>
          <w:lang w:val="fr-FR"/>
        </w:rPr>
        <w:t xml:space="preserve">tion §7, et suivre les KPIs §8 — en particulier le </w:t>
      </w:r>
      <w:proofErr w:type="spellStart"/>
      <w:r w:rsidRPr="00EA74C4">
        <w:rPr>
          <w:rFonts w:ascii="Calibri" w:eastAsia="Calibri" w:hAnsi="Calibri"/>
          <w:sz w:val="20"/>
          <w:highlight w:val="yellow"/>
          <w:lang w:val="fr-FR"/>
        </w:rPr>
        <w:t>funnel</w:t>
      </w:r>
      <w:proofErr w:type="spellEnd"/>
      <w:r w:rsidRPr="00EA74C4">
        <w:rPr>
          <w:rFonts w:ascii="Calibri" w:eastAsia="Calibri" w:hAnsi="Calibri"/>
          <w:sz w:val="20"/>
          <w:highlight w:val="yellow"/>
          <w:lang w:val="fr-FR"/>
        </w:rPr>
        <w:t xml:space="preserve"> parrainage.</w:t>
      </w:r>
    </w:p>
    <w:p w14:paraId="589B284E" w14:textId="6E0EE932" w:rsidR="00277A29" w:rsidRDefault="00EA74C4">
      <w:pPr>
        <w:spacing w:after="120" w:line="240" w:lineRule="auto"/>
      </w:pPr>
      <w:r>
        <w:rPr>
          <w:rFonts w:ascii="Calibri" w:eastAsia="Calibri" w:hAnsi="Calibri"/>
          <w:i/>
          <w:color w:val="4A5568"/>
          <w:sz w:val="18"/>
          <w:lang w:val="fr-FR"/>
        </w:rPr>
        <w:t xml:space="preserve"> </w:t>
      </w:r>
    </w:p>
    <w:sectPr w:rsidR="00277A2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A29"/>
    <w:rsid w:val="0029639D"/>
    <w:rsid w:val="00326F90"/>
    <w:rsid w:val="006D2FBE"/>
    <w:rsid w:val="00AA1D8D"/>
    <w:rsid w:val="00B47730"/>
    <w:rsid w:val="00CB0664"/>
    <w:rsid w:val="00EA7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BB7FD"/>
  <w14:defaultImageDpi w14:val="300"/>
  <w15:docId w15:val="{50B3C67D-5AB5-46C0-98DE-18783940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E52B7-7B5E-4922-9FF9-24F0E1503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3</cp:revision>
  <dcterms:created xsi:type="dcterms:W3CDTF">2013-12-23T23:15:00Z</dcterms:created>
  <dcterms:modified xsi:type="dcterms:W3CDTF">2026-09-05T14:52:00Z</dcterms:modified>
  <cp:category/>
</cp:coreProperties>
</file>