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7999" cy="1021175"/>
            <wp:docPr id="1" name="Picture 1"/>
            <wp:cNvGraphicFramePr>
              <a:graphicFrameLocks noChangeAspect="1"/>
            </wp:cNvGraphicFramePr>
            <a:graphic>
              <a:graphicData uri="http://schemas.openxmlformats.org/drawingml/2006/picture">
                <pic:pic>
                  <pic:nvPicPr>
                    <pic:cNvPr id="0" name="logo-lexhub.png"/>
                    <pic:cNvPicPr/>
                  </pic:nvPicPr>
                  <pic:blipFill>
                    <a:blip r:embed="rId9"/>
                    <a:stretch>
                      <a:fillRect/>
                    </a:stretch>
                  </pic:blipFill>
                  <pic:spPr>
                    <a:xfrm>
                      <a:off x="0" y="0"/>
                      <a:ext cx="1007999" cy="1021175"/>
                    </a:xfrm>
                    <a:prstGeom prst="rect"/>
                  </pic:spPr>
                </pic:pic>
              </a:graphicData>
            </a:graphic>
          </wp:inline>
        </w:drawing>
      </w:r>
    </w:p>
    <w:p>
      <w:pPr>
        <w:spacing w:before="80" w:after="40"/>
        <w:jc w:val="center"/>
      </w:pPr>
      <w:r>
        <w:rPr>
          <w:rFonts w:ascii="Calibri" w:hAnsi="Calibri" w:eastAsia="Calibri"/>
          <w:b/>
          <w:i w:val="0"/>
          <w:color w:val="0B1A4D"/>
          <w:sz w:val="44"/>
        </w:rPr>
        <w:t>LexHub</w:t>
      </w:r>
    </w:p>
    <w:p>
      <w:pPr>
        <w:spacing w:after="40"/>
        <w:jc w:val="center"/>
      </w:pPr>
      <w:r>
        <w:rPr>
          <w:rFonts w:ascii="Calibri" w:hAnsi="Calibri" w:eastAsia="Calibri"/>
          <w:b/>
          <w:i w:val="0"/>
          <w:color w:val="0B1A4D"/>
          <w:sz w:val="28"/>
        </w:rPr>
        <w:t>Guide d’utilisation &amp; de tests</w:t>
      </w:r>
    </w:p>
    <w:p>
      <w:pPr>
        <w:spacing w:after="80"/>
        <w:jc w:val="center"/>
      </w:pPr>
      <w:r>
        <w:rPr>
          <w:rFonts w:ascii="Calibri" w:hAnsi="Calibri" w:eastAsia="Calibri"/>
          <w:b/>
          <w:i w:val="0"/>
          <w:color w:val="C9A84A"/>
          <w:sz w:val="20"/>
        </w:rPr>
        <w:t>Plateforme d'Intelligence Artificielle Juridique pour Cabinets d'Avocats au Maroc</w:t>
      </w:r>
    </w:p>
    <w:p>
      <w:pPr>
        <w:spacing w:after="120"/>
        <w:jc w:val="center"/>
      </w:pPr>
      <w:r>
        <w:rPr>
          <w:rFonts w:ascii="Calibri" w:hAnsi="Calibri" w:eastAsia="Calibri"/>
          <w:b w:val="0"/>
          <w:i/>
          <w:color w:val="4A5568"/>
          <w:sz w:val="17"/>
        </w:rPr>
        <w:t>Production https://lexhub.space · Édition Finale Validée · 12/09/2026 · Comptes · Rôles · Parcours · Facturation · Scénarios d'évaluation</w:t>
      </w:r>
    </w:p>
    <w:p>
      <w:pPr>
        <w:spacing w:before="40" w:after="120"/>
        <w:pBdr>
          <w:bottom w:val="single" w:sz="12" w:space="1" w:color="C9A84A"/>
        </w:pBdr>
      </w:pPr>
    </w:p>
    <w:tbl>
      <w:tblPr>
        <w:tblW w:type="auto" w:w="0"/>
        <w:tblLook w:firstColumn="1" w:firstRow="1" w:lastColumn="0" w:lastRow="0" w:noHBand="0" w:noVBand="1" w:val="04A0"/>
      </w:tblPr>
      <w:tblGrid>
        <w:gridCol w:w="10200"/>
      </w:tblGrid>
      <w:tr>
        <w:tc>
          <w:tcPr>
            <w:tcW w:type="dxa" w:w="10200"/>
            <w:shd w:fill="FEF9EE" w:val="clear"/>
          </w:tcPr>
          <w:p>
            <w:pPr>
              <w:spacing w:before="80" w:after="40"/>
            </w:pPr>
            <w:r/>
            <w:r>
              <w:rPr>
                <w:rFonts w:ascii="Calibri" w:hAnsi="Calibri" w:eastAsia="Calibri"/>
                <w:b/>
                <w:i w:val="0"/>
                <w:color w:val="0B1A4D"/>
                <w:sz w:val="19"/>
              </w:rPr>
              <w:t>Objet &amp; Contexte du document</w:t>
            </w:r>
          </w:p>
          <w:p>
            <w:pPr>
              <w:spacing w:after="80"/>
            </w:pPr>
            <w:r>
              <w:rPr>
                <w:rFonts w:ascii="Calibri" w:hAnsi="Calibri" w:eastAsia="Calibri"/>
                <w:b w:val="0"/>
                <w:i w:val="0"/>
                <w:color w:val="4A5568"/>
                <w:sz w:val="18"/>
              </w:rPr>
              <w:t>Ce guide constitue la référence opérationnelle, fonctionnelle et technique officielle de LexHub (https://lexhub.space). Il est destiné à l'encadrement pédagogique, aux évaluateurs professionnels et aux cabinets partenaires. L'ensemble des données, comptes de démonstration, quotas, grilles tarifaires et architectures présentés dans ce document sont strictement conformes à l'environnement actuellement déployé en production.</w:t>
            </w:r>
          </w:p>
        </w:tc>
      </w:tr>
    </w:tbl>
    <w:p>
      <w:pPr>
        <w:spacing w:after="40"/>
      </w:pPr>
    </w:p>
    <w:p>
      <w:pPr>
        <w:pStyle w:val="Heading1"/>
        <w:keepNext/>
      </w:pPr>
      <w:r>
        <w:rPr>
          <w:rFonts w:ascii="Calibri" w:hAnsi="Calibri"/>
          <w:b/>
          <w:color w:val="0B1A4D"/>
          <w:sz w:val="30"/>
        </w:rPr>
        <w:t>Sommaire général</w:t>
      </w:r>
    </w:p>
    <w:p>
      <w:pPr>
        <w:pStyle w:val="ListBullet"/>
        <w:spacing w:after="50" w:line="240" w:lineRule="auto"/>
      </w:pPr>
      <w:r>
        <w:rPr>
          <w:rFonts w:ascii="Calibri" w:hAnsi="Calibri" w:eastAsia="Calibri"/>
          <w:b w:val="0"/>
          <w:i w:val="0"/>
          <w:color w:val="1E293B"/>
          <w:sz w:val="19"/>
        </w:rPr>
        <w:t>PARTIE A — Prise en main &amp; Accès sécurisés</w:t>
      </w:r>
    </w:p>
    <w:p>
      <w:pPr>
        <w:spacing w:after="30"/>
        <w:ind w:left="454"/>
      </w:pPr>
      <w:r>
        <w:rPr>
          <w:rFonts w:ascii="Calibri" w:hAnsi="Calibri" w:eastAsia="Calibri"/>
          <w:b w:val="0"/>
          <w:i w:val="0"/>
          <w:color w:val="4A5568"/>
          <w:sz w:val="17"/>
        </w:rPr>
        <w:t>• A1. Démarrer en 2 minutes (Accès, Prérequis, Recommandations)</w:t>
      </w:r>
    </w:p>
    <w:p>
      <w:pPr>
        <w:spacing w:after="30"/>
        <w:ind w:left="454"/>
      </w:pPr>
      <w:r>
        <w:rPr>
          <w:rFonts w:ascii="Calibri" w:hAnsi="Calibri" w:eastAsia="Calibri"/>
          <w:b w:val="0"/>
          <w:i w:val="0"/>
          <w:color w:val="4A5568"/>
          <w:sz w:val="17"/>
        </w:rPr>
        <w:t>• A2. Comptes de test &amp; identifiants vérifiés en production</w:t>
      </w:r>
    </w:p>
    <w:p>
      <w:pPr>
        <w:spacing w:after="30"/>
        <w:ind w:left="454"/>
      </w:pPr>
      <w:r>
        <w:rPr>
          <w:rFonts w:ascii="Calibri" w:hAnsi="Calibri" w:eastAsia="Calibri"/>
          <w:b w:val="0"/>
          <w:i w:val="0"/>
          <w:color w:val="4A5568"/>
          <w:sz w:val="17"/>
        </w:rPr>
        <w:t>• A3. Matrice des rôles et droits d'accès (Admin, Avocat, Assistant, Plateforme)</w:t>
      </w:r>
    </w:p>
    <w:p>
      <w:pPr>
        <w:spacing w:after="30"/>
        <w:ind w:left="454"/>
      </w:pPr>
      <w:r>
        <w:rPr>
          <w:rFonts w:ascii="Calibri" w:hAnsi="Calibri" w:eastAsia="Calibri"/>
          <w:b w:val="0"/>
          <w:i w:val="0"/>
          <w:color w:val="4A5568"/>
          <w:sz w:val="17"/>
        </w:rPr>
        <w:t>• A4. Navigation réelle &amp; interface (Dock latéral, menu compte, paramètres)</w:t>
      </w:r>
    </w:p>
    <w:p>
      <w:pPr>
        <w:spacing w:after="30"/>
        <w:ind w:left="454"/>
      </w:pPr>
      <w:r>
        <w:rPr>
          <w:rFonts w:ascii="Calibri" w:hAnsi="Calibri" w:eastAsia="Calibri"/>
          <w:b w:val="0"/>
          <w:i w:val="0"/>
          <w:color w:val="4A5568"/>
          <w:sz w:val="17"/>
        </w:rPr>
        <w:t>• A5. Accès sécurisé à la base de données (PostgreSQL &amp; Adminer via tunnel SSH chiffré)</w:t>
      </w:r>
    </w:p>
    <w:p>
      <w:pPr>
        <w:pStyle w:val="ListBullet"/>
        <w:spacing w:after="50" w:line="240" w:lineRule="auto"/>
      </w:pPr>
      <w:r>
        <w:rPr>
          <w:rFonts w:ascii="Calibri" w:hAnsi="Calibri" w:eastAsia="Calibri"/>
          <w:b w:val="0"/>
          <w:i w:val="0"/>
          <w:color w:val="1E293B"/>
          <w:sz w:val="19"/>
        </w:rPr>
        <w:t>PARTIE B — Parcours métier &amp; Cœur d'Intelligence Artificielle</w:t>
      </w:r>
    </w:p>
    <w:p>
      <w:pPr>
        <w:spacing w:after="30"/>
        <w:ind w:left="454"/>
      </w:pPr>
      <w:r>
        <w:rPr>
          <w:rFonts w:ascii="Calibri" w:hAnsi="Calibri" w:eastAsia="Calibri"/>
          <w:b w:val="0"/>
          <w:i w:val="0"/>
          <w:color w:val="4A5568"/>
          <w:sz w:val="17"/>
        </w:rPr>
        <w:t>• B1. Dossiers judiciaires &amp; pièces probatoires (Bordereau, indexation, OCR)</w:t>
      </w:r>
    </w:p>
    <w:p>
      <w:pPr>
        <w:spacing w:after="30"/>
        <w:ind w:left="454"/>
      </w:pPr>
      <w:r>
        <w:rPr>
          <w:rFonts w:ascii="Calibri" w:hAnsi="Calibri" w:eastAsia="Calibri"/>
          <w:b w:val="0"/>
          <w:i w:val="0"/>
          <w:color w:val="4A5568"/>
          <w:sz w:val="17"/>
        </w:rPr>
        <w:t>• B2. Atelier de rédaction de plaidoirie (5 étapes, dictée vocale native Chrome, 3 statuts)</w:t>
      </w:r>
    </w:p>
    <w:p>
      <w:pPr>
        <w:spacing w:after="30"/>
        <w:ind w:left="454"/>
      </w:pPr>
      <w:r>
        <w:rPr>
          <w:rFonts w:ascii="Calibri" w:hAnsi="Calibri" w:eastAsia="Calibri"/>
          <w:b w:val="0"/>
          <w:i w:val="0"/>
          <w:color w:val="4A5568"/>
          <w:sz w:val="17"/>
        </w:rPr>
        <w:t>• B3. Export officiel Microsoft Word (.docx) (RTL arabe, armoiries du Royaume, standard judiciaire)</w:t>
      </w:r>
    </w:p>
    <w:p>
      <w:pPr>
        <w:spacing w:after="30"/>
        <w:ind w:left="454"/>
      </w:pPr>
      <w:r>
        <w:rPr>
          <w:rFonts w:ascii="Calibri" w:hAnsi="Calibri" w:eastAsia="Calibri"/>
          <w:b w:val="0"/>
          <w:i w:val="0"/>
          <w:color w:val="4A5568"/>
          <w:sz w:val="17"/>
        </w:rPr>
        <w:t>• B4. Assistant IA &amp; Clé de barre d’audience (Révision interactive, points oraux)</w:t>
      </w:r>
    </w:p>
    <w:p>
      <w:pPr>
        <w:spacing w:after="30"/>
        <w:ind w:left="454"/>
      </w:pPr>
      <w:r>
        <w:rPr>
          <w:rFonts w:ascii="Calibri" w:hAnsi="Calibri" w:eastAsia="Calibri"/>
          <w:b w:val="0"/>
          <w:i w:val="0"/>
          <w:color w:val="4A5568"/>
          <w:sz w:val="17"/>
        </w:rPr>
        <w:t>• B5. Planning d'audience, journal d'activité et gestion d'équipe</w:t>
      </w:r>
    </w:p>
    <w:p>
      <w:pPr>
        <w:pStyle w:val="ListBullet"/>
        <w:spacing w:after="50" w:line="240" w:lineRule="auto"/>
      </w:pPr>
      <w:r>
        <w:rPr>
          <w:rFonts w:ascii="Calibri" w:hAnsi="Calibri" w:eastAsia="Calibri"/>
          <w:b w:val="0"/>
          <w:i w:val="0"/>
          <w:color w:val="1E293B"/>
          <w:sz w:val="19"/>
        </w:rPr>
        <w:t>PARTIE C — Modèle économique &amp; Facturation</w:t>
      </w:r>
    </w:p>
    <w:p>
      <w:pPr>
        <w:spacing w:after="30"/>
        <w:ind w:left="454"/>
      </w:pPr>
      <w:r>
        <w:rPr>
          <w:rFonts w:ascii="Calibri" w:hAnsi="Calibri" w:eastAsia="Calibri"/>
          <w:b w:val="0"/>
          <w:i w:val="0"/>
          <w:color w:val="4A5568"/>
          <w:sz w:val="17"/>
        </w:rPr>
        <w:t>• C1. Grille des plans et quotas réels de production (Découverte, Solo, Cabinet, Entreprise, Sur mesure)</w:t>
      </w:r>
    </w:p>
    <w:p>
      <w:pPr>
        <w:spacing w:after="30"/>
        <w:ind w:left="454"/>
      </w:pPr>
      <w:r>
        <w:rPr>
          <w:rFonts w:ascii="Calibri" w:hAnsi="Calibri" w:eastAsia="Calibri"/>
          <w:b w:val="0"/>
          <w:i w:val="0"/>
          <w:color w:val="4A5568"/>
          <w:sz w:val="17"/>
        </w:rPr>
        <w:t>• C2. Fonctionnement des essais gratuits plafonnés (Anti-abus)</w:t>
      </w:r>
    </w:p>
    <w:p>
      <w:pPr>
        <w:spacing w:after="30"/>
        <w:ind w:left="454"/>
      </w:pPr>
      <w:r>
        <w:rPr>
          <w:rFonts w:ascii="Calibri" w:hAnsi="Calibri" w:eastAsia="Calibri"/>
          <w:b w:val="0"/>
          <w:i w:val="0"/>
          <w:color w:val="4A5568"/>
          <w:sz w:val="17"/>
        </w:rPr>
        <w:t>• C3. Packs prépayés, PAYG et sièges supplémentaires</w:t>
      </w:r>
    </w:p>
    <w:p>
      <w:pPr>
        <w:spacing w:after="30"/>
        <w:ind w:left="454"/>
      </w:pPr>
      <w:r>
        <w:rPr>
          <w:rFonts w:ascii="Calibri" w:hAnsi="Calibri" w:eastAsia="Calibri"/>
          <w:b w:val="0"/>
          <w:i w:val="0"/>
          <w:color w:val="4A5568"/>
          <w:sz w:val="17"/>
        </w:rPr>
        <w:t>• C4. Programme de parrainage confraternel et historique des factures</w:t>
      </w:r>
    </w:p>
    <w:p>
      <w:pPr>
        <w:spacing w:after="30"/>
        <w:ind w:left="454"/>
      </w:pPr>
      <w:r>
        <w:rPr>
          <w:rFonts w:ascii="Calibri" w:hAnsi="Calibri" w:eastAsia="Calibri"/>
          <w:b w:val="0"/>
          <w:i w:val="0"/>
          <w:color w:val="4A5568"/>
          <w:sz w:val="17"/>
        </w:rPr>
        <w:t>• C5. Offre Entreprise &amp; préparation au paiement CMI / PayZone</w:t>
      </w:r>
    </w:p>
    <w:p>
      <w:pPr>
        <w:pStyle w:val="ListBullet"/>
        <w:spacing w:after="50" w:line="240" w:lineRule="auto"/>
      </w:pPr>
      <w:r>
        <w:rPr>
          <w:rFonts w:ascii="Calibri" w:hAnsi="Calibri" w:eastAsia="Calibri"/>
          <w:b w:val="0"/>
          <w:i w:val="0"/>
          <w:color w:val="1E293B"/>
          <w:sz w:val="19"/>
        </w:rPr>
        <w:t>PARTIE D — Scénarios de test pas-à-pas (Grille d'évaluation)</w:t>
      </w:r>
    </w:p>
    <w:p>
      <w:pPr>
        <w:spacing w:after="30"/>
        <w:ind w:left="454"/>
      </w:pPr>
      <w:r>
        <w:rPr>
          <w:rFonts w:ascii="Calibri" w:hAnsi="Calibri" w:eastAsia="Calibri"/>
          <w:b w:val="0"/>
          <w:i w:val="0"/>
          <w:color w:val="4A5568"/>
          <w:sz w:val="17"/>
        </w:rPr>
        <w:t>• Scénarios 1 à 9 : Checklist d'évaluation opérationnelle prête à cocher</w:t>
      </w:r>
    </w:p>
    <w:p>
      <w:pPr>
        <w:pStyle w:val="ListBullet"/>
        <w:spacing w:after="50" w:line="240" w:lineRule="auto"/>
      </w:pPr>
      <w:r>
        <w:rPr>
          <w:rFonts w:ascii="Calibri" w:hAnsi="Calibri" w:eastAsia="Calibri"/>
          <w:b w:val="0"/>
          <w:i w:val="0"/>
          <w:color w:val="1E293B"/>
          <w:sz w:val="19"/>
        </w:rPr>
        <w:t>PARTIE E — Console d'Administration Plateforme WEBVOICE</w:t>
      </w:r>
    </w:p>
    <w:p>
      <w:pPr>
        <w:spacing w:after="30"/>
        <w:ind w:left="454"/>
      </w:pPr>
      <w:r>
        <w:rPr>
          <w:rFonts w:ascii="Calibri" w:hAnsi="Calibri" w:eastAsia="Calibri"/>
          <w:b w:val="0"/>
          <w:i w:val="0"/>
          <w:color w:val="4A5568"/>
          <w:sz w:val="17"/>
        </w:rPr>
        <w:t>• Supervision métrique, qualification des leads Entreprise, Ops Coach, sécurité</w:t>
      </w:r>
    </w:p>
    <w:p>
      <w:pPr>
        <w:pStyle w:val="ListBullet"/>
        <w:spacing w:after="50" w:line="240" w:lineRule="auto"/>
      </w:pPr>
      <w:r>
        <w:rPr>
          <w:rFonts w:ascii="Calibri" w:hAnsi="Calibri" w:eastAsia="Calibri"/>
          <w:b w:val="0"/>
          <w:i w:val="0"/>
          <w:color w:val="1E293B"/>
          <w:sz w:val="19"/>
        </w:rPr>
        <w:t>Annexe — Architecture technique &amp; Dépannage rapide</w:t>
      </w:r>
    </w:p>
    <w:p>
      <w:pPr>
        <w:spacing w:after="30"/>
        <w:ind w:left="454"/>
      </w:pPr>
      <w:r>
        <w:rPr>
          <w:rFonts w:ascii="Calibri" w:hAnsi="Calibri" w:eastAsia="Calibri"/>
          <w:b w:val="0"/>
          <w:i w:val="0"/>
          <w:color w:val="4A5568"/>
          <w:sz w:val="17"/>
        </w:rPr>
        <w:t>• Stack technologique, sécurité/chiffrement, sauvegardes automatiques &amp; FAQ</w:t>
      </w:r>
    </w:p>
    <w:p>
      <w:pPr>
        <w:pStyle w:val="Heading1"/>
        <w:keepNext/>
      </w:pPr>
      <w:r>
        <w:rPr>
          <w:rFonts w:ascii="Calibri" w:hAnsi="Calibri"/>
          <w:b/>
          <w:color w:val="0B1A4D"/>
          <w:sz w:val="30"/>
        </w:rPr>
        <w:t>PARTIE A — Prise en main &amp; Accès sécurisés</w:t>
      </w:r>
    </w:p>
    <w:p>
      <w:pPr>
        <w:pStyle w:val="Heading2"/>
        <w:keepNext/>
      </w:pPr>
      <w:r>
        <w:rPr>
          <w:rFonts w:ascii="Calibri" w:hAnsi="Calibri"/>
          <w:b/>
          <w:color w:val="0B1A4D"/>
          <w:sz w:val="24"/>
        </w:rPr>
        <w:t>A1. Démarrer en 2 minutes</w:t>
      </w:r>
    </w:p>
    <w:p>
      <w:pPr>
        <w:pStyle w:val="ListNumber"/>
        <w:spacing w:after="50" w:line="240" w:lineRule="auto"/>
      </w:pPr>
      <w:r>
        <w:rPr>
          <w:rFonts w:ascii="Calibri" w:hAnsi="Calibri" w:eastAsia="Calibri"/>
          <w:b w:val="0"/>
          <w:i w:val="0"/>
          <w:color w:val="1E293B"/>
          <w:sz w:val="19"/>
        </w:rPr>
        <w:t>Ouvrir l'application en ligne sur https://lexhub.space (navigateur Google Chrome fortement recommandé pour l'enregistrement vocal haute fidélité).</w:t>
      </w:r>
    </w:p>
    <w:p>
      <w:pPr>
        <w:pStyle w:val="ListNumber"/>
        <w:spacing w:after="50" w:line="240" w:lineRule="auto"/>
      </w:pPr>
      <w:r>
        <w:rPr>
          <w:rFonts w:ascii="Calibri" w:hAnsi="Calibri" w:eastAsia="Calibri"/>
          <w:b w:val="0"/>
          <w:i w:val="0"/>
          <w:color w:val="1E293B"/>
          <w:sz w:val="19"/>
        </w:rPr>
        <w:t>Cliquer sur « Connexion » en haut à droite ou accéder directement à https://lexhub.space/login.</w:t>
      </w:r>
    </w:p>
    <w:p>
      <w:pPr>
        <w:pStyle w:val="ListNumber"/>
        <w:spacing w:after="50" w:line="240" w:lineRule="auto"/>
      </w:pPr>
      <w:r>
        <w:rPr>
          <w:rFonts w:ascii="Calibri" w:hAnsi="Calibri" w:eastAsia="Calibri"/>
          <w:b w:val="0"/>
          <w:i w:val="0"/>
          <w:color w:val="1E293B"/>
          <w:sz w:val="19"/>
        </w:rPr>
        <w:t>Saisir l'un des comptes de test préconfigurés présentés dans le tableau A2 ci-dessous (mot de passe standard : LexHub2026!).</w:t>
      </w:r>
    </w:p>
    <w:p>
      <w:pPr>
        <w:pStyle w:val="ListNumber"/>
        <w:spacing w:after="50" w:line="240" w:lineRule="auto"/>
      </w:pPr>
      <w:r>
        <w:rPr>
          <w:rFonts w:ascii="Calibri" w:hAnsi="Calibri" w:eastAsia="Calibri"/>
          <w:b w:val="0"/>
          <w:i w:val="0"/>
          <w:color w:val="1E293B"/>
          <w:sz w:val="19"/>
        </w:rPr>
        <w:t>En cas de mise à jour récente de votre navigateur, effectuer un rafraîchissement complet : Ctrl+F5 (Windows) ou Cmd+Shift+R (Mac).</w:t>
      </w:r>
    </w:p>
    <w:p>
      <w:pPr>
        <w:pStyle w:val="ListNumber"/>
        <w:spacing w:after="50" w:line="240" w:lineRule="auto"/>
      </w:pPr>
      <w:r>
        <w:rPr>
          <w:rFonts w:ascii="Calibri" w:hAnsi="Calibri" w:eastAsia="Calibri"/>
          <w:b w:val="0"/>
          <w:i w:val="0"/>
          <w:color w:val="1E293B"/>
          <w:sz w:val="19"/>
        </w:rPr>
        <w:t>Débuter par le Scénario 1 de la Partie D pour valider l'accès aux différents espaces de travail.</w:t>
      </w:r>
    </w:p>
    <w:tbl>
      <w:tblPr>
        <w:tblW w:type="auto" w:w="0"/>
        <w:tblLook w:firstColumn="1" w:firstRow="1" w:lastColumn="0" w:lastRow="0" w:noHBand="0" w:noVBand="1" w:val="04A0"/>
      </w:tblPr>
      <w:tblGrid>
        <w:gridCol w:w="10200"/>
      </w:tblGrid>
      <w:tr>
        <w:tc>
          <w:tcPr>
            <w:tcW w:type="dxa" w:w="10200"/>
            <w:shd w:fill="FEE2E2" w:val="clear"/>
          </w:tcPr>
          <w:p>
            <w:pPr>
              <w:spacing w:before="80" w:after="40"/>
            </w:pPr>
            <w:r/>
            <w:r>
              <w:rPr>
                <w:rFonts w:ascii="Calibri" w:hAnsi="Calibri" w:eastAsia="Calibri"/>
                <w:b/>
                <w:i w:val="0"/>
                <w:color w:val="0B1A4D"/>
                <w:sz w:val="19"/>
              </w:rPr>
              <w:t>Recommandation importante pour les tests multi-rôles</w:t>
            </w:r>
          </w:p>
          <w:p>
            <w:pPr>
              <w:spacing w:after="80"/>
            </w:pPr>
            <w:r>
              <w:rPr>
                <w:rFonts w:ascii="Calibri" w:hAnsi="Calibri" w:eastAsia="Calibri"/>
                <w:b w:val="0"/>
                <w:i w:val="0"/>
                <w:color w:val="4A5568"/>
                <w:sz w:val="18"/>
              </w:rPr>
              <w:t>Pour tester les différences d'habilitation entre administrateur, avocat et assistant, veillez à toujours vous déconnecter via le menu compte en haut à droite avant de saisir de nouveaux identifiants. Le compte administrateur plateforme (admin@webvoice.ma) gère l'écosystème global et n'est pas rattaché à un cabinet d'avocats particulier.</w:t>
            </w:r>
          </w:p>
        </w:tc>
      </w:tr>
    </w:tbl>
    <w:p>
      <w:pPr>
        <w:spacing w:after="40"/>
      </w:pPr>
    </w:p>
    <w:p>
      <w:pPr>
        <w:pStyle w:val="Heading2"/>
        <w:keepNext/>
      </w:pPr>
      <w:r>
        <w:rPr>
          <w:rFonts w:ascii="Calibri" w:hAnsi="Calibri"/>
          <w:b/>
          <w:color w:val="0B1A4D"/>
          <w:sz w:val="24"/>
        </w:rPr>
        <w:t>A2. Comptes de test &amp; identifiants vérifiés en production</w:t>
      </w:r>
    </w:p>
    <w:p>
      <w:pPr>
        <w:spacing w:after="100" w:line="240" w:lineRule="auto"/>
      </w:pPr>
      <w:r>
        <w:rPr>
          <w:rFonts w:ascii="Calibri" w:hAnsi="Calibri" w:eastAsia="Calibri"/>
          <w:b w:val="0"/>
          <w:i w:val="0"/>
          <w:color w:val="1E293B"/>
          <w:sz w:val="20"/>
        </w:rPr>
        <w:t>Cinq comptes opérationnels sont configurés sur la plateforme de production pour couvrir l'intégralité des rôles métier et des scénarios d'évaluation :</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2551"/>
            <w:shd w:fill="0B1A4D" w:val="clear"/>
          </w:tcPr>
          <w:p>
            <w:pPr>
              <w:spacing w:after="60" w:before="60"/>
            </w:pPr>
            <w:r/>
            <w:r>
              <w:rPr>
                <w:rFonts w:ascii="Calibri" w:hAnsi="Calibri" w:eastAsia="Calibri"/>
                <w:b/>
                <w:i w:val="0"/>
                <w:color w:val="FFFFFF"/>
                <w:sz w:val="17"/>
              </w:rPr>
              <w:t>E-mail</w:t>
            </w:r>
          </w:p>
        </w:tc>
        <w:tc>
          <w:tcPr>
            <w:tcW w:type="dxa" w:w="1417"/>
            <w:shd w:fill="0B1A4D" w:val="clear"/>
          </w:tcPr>
          <w:p>
            <w:pPr>
              <w:spacing w:after="60" w:before="60"/>
            </w:pPr>
            <w:r/>
            <w:r>
              <w:rPr>
                <w:rFonts w:ascii="Calibri" w:hAnsi="Calibri" w:eastAsia="Calibri"/>
                <w:b/>
                <w:i w:val="0"/>
                <w:color w:val="FFFFFF"/>
                <w:sz w:val="17"/>
              </w:rPr>
              <w:t>Mot de passe</w:t>
            </w:r>
          </w:p>
        </w:tc>
        <w:tc>
          <w:tcPr>
            <w:tcW w:type="dxa" w:w="1814"/>
            <w:shd w:fill="0B1A4D" w:val="clear"/>
          </w:tcPr>
          <w:p>
            <w:pPr>
              <w:spacing w:after="60" w:before="60"/>
            </w:pPr>
            <w:r/>
            <w:r>
              <w:rPr>
                <w:rFonts w:ascii="Calibri" w:hAnsi="Calibri" w:eastAsia="Calibri"/>
                <w:b/>
                <w:i w:val="0"/>
                <w:color w:val="FFFFFF"/>
                <w:sz w:val="17"/>
              </w:rPr>
              <w:t>Rôle attribué</w:t>
            </w:r>
          </w:p>
        </w:tc>
        <w:tc>
          <w:tcPr>
            <w:tcW w:type="dxa" w:w="3855"/>
            <w:shd w:fill="0B1A4D" w:val="clear"/>
          </w:tcPr>
          <w:p>
            <w:pPr>
              <w:spacing w:after="60" w:before="60"/>
            </w:pPr>
            <w:r/>
            <w:r>
              <w:rPr>
                <w:rFonts w:ascii="Calibri" w:hAnsi="Calibri" w:eastAsia="Calibri"/>
                <w:b/>
                <w:i w:val="0"/>
                <w:color w:val="FFFFFF"/>
                <w:sz w:val="17"/>
              </w:rPr>
              <w:t>Usage principal lors des tests</w:t>
            </w:r>
          </w:p>
        </w:tc>
      </w:tr>
      <w:tr>
        <w:tc>
          <w:tcPr>
            <w:tcW w:type="dxa" w:w="2551"/>
          </w:tcPr>
          <w:p>
            <w:pPr>
              <w:spacing w:after="50" w:before="50"/>
            </w:pPr>
            <w:r/>
            <w:r>
              <w:rPr>
                <w:rFonts w:ascii="Calibri" w:hAnsi="Calibri" w:eastAsia="Calibri"/>
                <w:b w:val="0"/>
                <w:i w:val="0"/>
                <w:color w:val="1E293B"/>
                <w:sz w:val="17"/>
              </w:rPr>
              <w:t>demo@lexhub.space</w:t>
            </w:r>
          </w:p>
        </w:tc>
        <w:tc>
          <w:tcPr>
            <w:tcW w:type="dxa" w:w="1417"/>
          </w:tcPr>
          <w:p>
            <w:pPr>
              <w:spacing w:after="50" w:before="50"/>
            </w:pPr>
            <w:r/>
            <w:r>
              <w:rPr>
                <w:rFonts w:ascii="Calibri" w:hAnsi="Calibri" w:eastAsia="Calibri"/>
                <w:b w:val="0"/>
                <w:i w:val="0"/>
                <w:color w:val="1E293B"/>
                <w:sz w:val="17"/>
              </w:rPr>
              <w:t>LexHub2026!</w:t>
            </w:r>
          </w:p>
        </w:tc>
        <w:tc>
          <w:tcPr>
            <w:tcW w:type="dxa" w:w="1814"/>
          </w:tcPr>
          <w:p>
            <w:pPr>
              <w:spacing w:after="50" w:before="50"/>
            </w:pPr>
            <w:r/>
            <w:r>
              <w:rPr>
                <w:rFonts w:ascii="Calibri" w:hAnsi="Calibri" w:eastAsia="Calibri"/>
                <w:b w:val="0"/>
                <w:i w:val="0"/>
                <w:color w:val="1E293B"/>
                <w:sz w:val="17"/>
              </w:rPr>
              <w:t>Admin cabinet</w:t>
            </w:r>
          </w:p>
        </w:tc>
        <w:tc>
          <w:tcPr>
            <w:tcW w:type="dxa" w:w="3855"/>
          </w:tcPr>
          <w:p>
            <w:pPr>
              <w:spacing w:after="50" w:before="50"/>
            </w:pPr>
            <w:r/>
            <w:r>
              <w:rPr>
                <w:rFonts w:ascii="Calibri" w:hAnsi="Calibri" w:eastAsia="Calibri"/>
                <w:b w:val="0"/>
                <w:i w:val="0"/>
                <w:color w:val="1E293B"/>
                <w:sz w:val="17"/>
              </w:rPr>
              <w:t>Parcours complet : dossiers, plaidoiries, IA, gestion d'équipe, abonnement et factures.</w:t>
            </w:r>
          </w:p>
        </w:tc>
      </w:tr>
      <w:tr>
        <w:tc>
          <w:tcPr>
            <w:tcW w:type="dxa" w:w="2551"/>
            <w:shd w:fill="F8FAFC" w:val="clear"/>
          </w:tcPr>
          <w:p>
            <w:pPr>
              <w:spacing w:after="50" w:before="50"/>
            </w:pPr>
            <w:r/>
            <w:r>
              <w:rPr>
                <w:rFonts w:ascii="Calibri" w:hAnsi="Calibri" w:eastAsia="Calibri"/>
                <w:b w:val="0"/>
                <w:i w:val="0"/>
                <w:color w:val="1E293B"/>
                <w:sz w:val="17"/>
              </w:rPr>
              <w:t>avocat@lexhub.space</w:t>
            </w:r>
          </w:p>
        </w:tc>
        <w:tc>
          <w:tcPr>
            <w:tcW w:type="dxa" w:w="1417"/>
            <w:shd w:fill="F8FAFC" w:val="clear"/>
          </w:tcPr>
          <w:p>
            <w:pPr>
              <w:spacing w:after="50" w:before="50"/>
            </w:pPr>
            <w:r/>
            <w:r>
              <w:rPr>
                <w:rFonts w:ascii="Calibri" w:hAnsi="Calibri" w:eastAsia="Calibri"/>
                <w:b w:val="0"/>
                <w:i w:val="0"/>
                <w:color w:val="1E293B"/>
                <w:sz w:val="17"/>
              </w:rPr>
              <w:t>LexHub2026!</w:t>
            </w:r>
          </w:p>
        </w:tc>
        <w:tc>
          <w:tcPr>
            <w:tcW w:type="dxa" w:w="1814"/>
            <w:shd w:fill="F8FAFC" w:val="clear"/>
          </w:tcPr>
          <w:p>
            <w:pPr>
              <w:spacing w:after="50" w:before="50"/>
            </w:pPr>
            <w:r/>
            <w:r>
              <w:rPr>
                <w:rFonts w:ascii="Calibri" w:hAnsi="Calibri" w:eastAsia="Calibri"/>
                <w:b w:val="0"/>
                <w:i w:val="0"/>
                <w:color w:val="1E293B"/>
                <w:sz w:val="17"/>
              </w:rPr>
              <w:t>Avocat collaborateur</w:t>
            </w:r>
          </w:p>
        </w:tc>
        <w:tc>
          <w:tcPr>
            <w:tcW w:type="dxa" w:w="3855"/>
            <w:shd w:fill="F8FAFC" w:val="clear"/>
          </w:tcPr>
          <w:p>
            <w:pPr>
              <w:spacing w:after="50" w:before="50"/>
            </w:pPr>
            <w:r/>
            <w:r>
              <w:rPr>
                <w:rFonts w:ascii="Calibri" w:hAnsi="Calibri" w:eastAsia="Calibri"/>
                <w:b w:val="0"/>
                <w:i w:val="0"/>
                <w:color w:val="1E293B"/>
                <w:sz w:val="17"/>
              </w:rPr>
              <w:t>Production juridique : dictée, rédaction, synthèse, clé de barre — sans gestion de l'abonnement.</w:t>
            </w:r>
          </w:p>
        </w:tc>
      </w:tr>
      <w:tr>
        <w:tc>
          <w:tcPr>
            <w:tcW w:type="dxa" w:w="2551"/>
          </w:tcPr>
          <w:p>
            <w:pPr>
              <w:spacing w:after="50" w:before="50"/>
            </w:pPr>
            <w:r/>
            <w:r>
              <w:rPr>
                <w:rFonts w:ascii="Calibri" w:hAnsi="Calibri" w:eastAsia="Calibri"/>
                <w:b w:val="0"/>
                <w:i w:val="0"/>
                <w:color w:val="1E293B"/>
                <w:sz w:val="17"/>
              </w:rPr>
              <w:t>assistant@lexhub.space</w:t>
            </w:r>
          </w:p>
        </w:tc>
        <w:tc>
          <w:tcPr>
            <w:tcW w:type="dxa" w:w="1417"/>
          </w:tcPr>
          <w:p>
            <w:pPr>
              <w:spacing w:after="50" w:before="50"/>
            </w:pPr>
            <w:r/>
            <w:r>
              <w:rPr>
                <w:rFonts w:ascii="Calibri" w:hAnsi="Calibri" w:eastAsia="Calibri"/>
                <w:b w:val="0"/>
                <w:i w:val="0"/>
                <w:color w:val="1E293B"/>
                <w:sz w:val="17"/>
              </w:rPr>
              <w:t>LexHub2026!</w:t>
            </w:r>
          </w:p>
        </w:tc>
        <w:tc>
          <w:tcPr>
            <w:tcW w:type="dxa" w:w="1814"/>
          </w:tcPr>
          <w:p>
            <w:pPr>
              <w:spacing w:after="50" w:before="50"/>
            </w:pPr>
            <w:r/>
            <w:r>
              <w:rPr>
                <w:rFonts w:ascii="Calibri" w:hAnsi="Calibri" w:eastAsia="Calibri"/>
                <w:b w:val="0"/>
                <w:i w:val="0"/>
                <w:color w:val="1E293B"/>
                <w:sz w:val="17"/>
              </w:rPr>
              <w:t>Assistant juridique</w:t>
            </w:r>
          </w:p>
        </w:tc>
        <w:tc>
          <w:tcPr>
            <w:tcW w:type="dxa" w:w="3855"/>
          </w:tcPr>
          <w:p>
            <w:pPr>
              <w:spacing w:after="50" w:before="50"/>
            </w:pPr>
            <w:r/>
            <w:r>
              <w:rPr>
                <w:rFonts w:ascii="Calibri" w:hAnsi="Calibri" w:eastAsia="Calibri"/>
                <w:b w:val="0"/>
                <w:i w:val="0"/>
                <w:color w:val="1E293B"/>
                <w:sz w:val="17"/>
              </w:rPr>
              <w:t>Gestion documentaire, indexation de pièces, consultation des plaidoiries validées.</w:t>
            </w:r>
          </w:p>
        </w:tc>
      </w:tr>
      <w:tr>
        <w:tc>
          <w:tcPr>
            <w:tcW w:type="dxa" w:w="2551"/>
            <w:shd w:fill="F8FAFC" w:val="clear"/>
          </w:tcPr>
          <w:p>
            <w:pPr>
              <w:spacing w:after="50" w:before="50"/>
            </w:pPr>
            <w:r/>
            <w:r>
              <w:rPr>
                <w:rFonts w:ascii="Calibri" w:hAnsi="Calibri" w:eastAsia="Calibri"/>
                <w:b w:val="0"/>
                <w:i w:val="0"/>
                <w:color w:val="1E293B"/>
                <w:sz w:val="17"/>
              </w:rPr>
              <w:t>test@cabinet-rabat.ma</w:t>
            </w:r>
          </w:p>
        </w:tc>
        <w:tc>
          <w:tcPr>
            <w:tcW w:type="dxa" w:w="1417"/>
            <w:shd w:fill="F8FAFC" w:val="clear"/>
          </w:tcPr>
          <w:p>
            <w:pPr>
              <w:spacing w:after="50" w:before="50"/>
            </w:pPr>
            <w:r/>
            <w:r>
              <w:rPr>
                <w:rFonts w:ascii="Calibri" w:hAnsi="Calibri" w:eastAsia="Calibri"/>
                <w:b w:val="0"/>
                <w:i w:val="0"/>
                <w:color w:val="1E293B"/>
                <w:sz w:val="17"/>
              </w:rPr>
              <w:t>Test2026!</w:t>
            </w:r>
          </w:p>
        </w:tc>
        <w:tc>
          <w:tcPr>
            <w:tcW w:type="dxa" w:w="1814"/>
            <w:shd w:fill="F8FAFC" w:val="clear"/>
          </w:tcPr>
          <w:p>
            <w:pPr>
              <w:spacing w:after="50" w:before="50"/>
            </w:pPr>
            <w:r/>
            <w:r>
              <w:rPr>
                <w:rFonts w:ascii="Calibri" w:hAnsi="Calibri" w:eastAsia="Calibri"/>
                <w:b w:val="0"/>
                <w:i w:val="0"/>
                <w:color w:val="1E293B"/>
                <w:sz w:val="17"/>
              </w:rPr>
              <w:t>Admin cabinet tiers</w:t>
            </w:r>
          </w:p>
        </w:tc>
        <w:tc>
          <w:tcPr>
            <w:tcW w:type="dxa" w:w="3855"/>
            <w:shd w:fill="F8FAFC" w:val="clear"/>
          </w:tcPr>
          <w:p>
            <w:pPr>
              <w:spacing w:after="50" w:before="50"/>
            </w:pPr>
            <w:r/>
            <w:r>
              <w:rPr>
                <w:rFonts w:ascii="Calibri" w:hAnsi="Calibri" w:eastAsia="Calibri"/>
                <w:b w:val="0"/>
                <w:i w:val="0"/>
                <w:color w:val="1E293B"/>
                <w:sz w:val="17"/>
              </w:rPr>
              <w:t>Démonstration du multi-tenant étanche : aucun accès aux dossiers du cabinet démo principal.</w:t>
            </w:r>
          </w:p>
        </w:tc>
      </w:tr>
      <w:tr>
        <w:tc>
          <w:tcPr>
            <w:tcW w:type="dxa" w:w="2551"/>
          </w:tcPr>
          <w:p>
            <w:pPr>
              <w:spacing w:after="50" w:before="50"/>
            </w:pPr>
            <w:r/>
            <w:r>
              <w:rPr>
                <w:rFonts w:ascii="Calibri" w:hAnsi="Calibri" w:eastAsia="Calibri"/>
                <w:b w:val="0"/>
                <w:i w:val="0"/>
                <w:color w:val="1E293B"/>
                <w:sz w:val="17"/>
              </w:rPr>
              <w:t>admin@webvoice.ma</w:t>
            </w:r>
          </w:p>
        </w:tc>
        <w:tc>
          <w:tcPr>
            <w:tcW w:type="dxa" w:w="1417"/>
          </w:tcPr>
          <w:p>
            <w:pPr>
              <w:spacing w:after="50" w:before="50"/>
            </w:pPr>
            <w:r/>
            <w:r>
              <w:rPr>
                <w:rFonts w:ascii="Calibri" w:hAnsi="Calibri" w:eastAsia="Calibri"/>
                <w:b w:val="0"/>
                <w:i w:val="0"/>
                <w:color w:val="1E293B"/>
                <w:sz w:val="17"/>
              </w:rPr>
              <w:t>WebVoice2026!</w:t>
            </w:r>
          </w:p>
        </w:tc>
        <w:tc>
          <w:tcPr>
            <w:tcW w:type="dxa" w:w="1814"/>
          </w:tcPr>
          <w:p>
            <w:pPr>
              <w:spacing w:after="50" w:before="50"/>
            </w:pPr>
            <w:r/>
            <w:r>
              <w:rPr>
                <w:rFonts w:ascii="Calibri" w:hAnsi="Calibri" w:eastAsia="Calibri"/>
                <w:b w:val="0"/>
                <w:i w:val="0"/>
                <w:color w:val="1E293B"/>
                <w:sz w:val="17"/>
              </w:rPr>
              <w:t>Admin plateforme</w:t>
            </w:r>
          </w:p>
        </w:tc>
        <w:tc>
          <w:tcPr>
            <w:tcW w:type="dxa" w:w="3855"/>
          </w:tcPr>
          <w:p>
            <w:pPr>
              <w:spacing w:after="50" w:before="50"/>
            </w:pPr>
            <w:r/>
            <w:r>
              <w:rPr>
                <w:rFonts w:ascii="Calibri" w:hAnsi="Calibri" w:eastAsia="Calibri"/>
                <w:b w:val="0"/>
                <w:i w:val="0"/>
                <w:color w:val="1E293B"/>
                <w:sz w:val="17"/>
              </w:rPr>
              <w:t>Console /admin : supervision des cabinets, qualification Entreprise, Ops Coach, audit.</w:t>
            </w:r>
          </w:p>
        </w:tc>
      </w:tr>
    </w:tbl>
    <w:p>
      <w:pPr>
        <w:spacing w:after="40"/>
      </w:pPr>
    </w:p>
    <w:p>
      <w:pPr>
        <w:pStyle w:val="Heading2"/>
        <w:keepNext/>
      </w:pPr>
      <w:r>
        <w:rPr>
          <w:rFonts w:ascii="Calibri" w:hAnsi="Calibri"/>
          <w:b/>
          <w:color w:val="0B1A4D"/>
          <w:sz w:val="24"/>
        </w:rPr>
        <w:t>A3. Matrice des rôles et droits d'accès</w:t>
      </w:r>
    </w:p>
    <w:p>
      <w:pPr>
        <w:spacing w:after="100" w:line="240" w:lineRule="auto"/>
      </w:pPr>
      <w:r>
        <w:rPr>
          <w:rFonts w:ascii="Calibri" w:hAnsi="Calibri" w:eastAsia="Calibri"/>
          <w:b w:val="0"/>
          <w:i w:val="0"/>
          <w:color w:val="1E293B"/>
          <w:sz w:val="20"/>
        </w:rPr>
        <w:t>La plateforme implémente un contrôle d'accès strict basé sur les rôles (RBAC) pour garantir le secret professionnel et la gouvernance du cabinet :</w:t>
      </w:r>
    </w:p>
    <w:tbl>
      <w:tblPr>
        <w:tblStyle w:val="TableGrid"/>
        <w:tblW w:type="auto" w:w="0"/>
        <w:tblLayout w:type="fixed"/>
        <w:tblLook w:firstColumn="1" w:firstRow="1" w:lastColumn="0" w:lastRow="0" w:noHBand="0" w:noVBand="1" w:val="04A0"/>
      </w:tblPr>
      <w:tblGrid>
        <w:gridCol w:w="2040"/>
        <w:gridCol w:w="2040"/>
        <w:gridCol w:w="2040"/>
        <w:gridCol w:w="2040"/>
        <w:gridCol w:w="2040"/>
      </w:tblGrid>
      <w:tr>
        <w:tc>
          <w:tcPr>
            <w:tcW w:type="dxa" w:w="3118"/>
            <w:shd w:fill="0B1A4D" w:val="clear"/>
          </w:tcPr>
          <w:p>
            <w:pPr>
              <w:spacing w:after="60" w:before="60"/>
            </w:pPr>
            <w:r/>
            <w:r>
              <w:rPr>
                <w:rFonts w:ascii="Calibri" w:hAnsi="Calibri" w:eastAsia="Calibri"/>
                <w:b/>
                <w:i w:val="0"/>
                <w:color w:val="FFFFFF"/>
                <w:sz w:val="17"/>
              </w:rPr>
              <w:t>Fonctionnalité / Action</w:t>
            </w:r>
          </w:p>
        </w:tc>
        <w:tc>
          <w:tcPr>
            <w:tcW w:type="dxa" w:w="1587"/>
            <w:shd w:fill="0B1A4D" w:val="clear"/>
          </w:tcPr>
          <w:p>
            <w:pPr>
              <w:spacing w:after="60" w:before="60"/>
            </w:pPr>
            <w:r/>
            <w:r>
              <w:rPr>
                <w:rFonts w:ascii="Calibri" w:hAnsi="Calibri" w:eastAsia="Calibri"/>
                <w:b/>
                <w:i w:val="0"/>
                <w:color w:val="FFFFFF"/>
                <w:sz w:val="17"/>
              </w:rPr>
              <w:t>Admin cabinet</w:t>
            </w:r>
          </w:p>
        </w:tc>
        <w:tc>
          <w:tcPr>
            <w:tcW w:type="dxa" w:w="1587"/>
            <w:shd w:fill="0B1A4D" w:val="clear"/>
          </w:tcPr>
          <w:p>
            <w:pPr>
              <w:spacing w:after="60" w:before="60"/>
            </w:pPr>
            <w:r/>
            <w:r>
              <w:rPr>
                <w:rFonts w:ascii="Calibri" w:hAnsi="Calibri" w:eastAsia="Calibri"/>
                <w:b/>
                <w:i w:val="0"/>
                <w:color w:val="FFFFFF"/>
                <w:sz w:val="17"/>
              </w:rPr>
              <w:t>Avocat</w:t>
            </w:r>
          </w:p>
        </w:tc>
        <w:tc>
          <w:tcPr>
            <w:tcW w:type="dxa" w:w="1814"/>
            <w:shd w:fill="0B1A4D" w:val="clear"/>
          </w:tcPr>
          <w:p>
            <w:pPr>
              <w:spacing w:after="60" w:before="60"/>
            </w:pPr>
            <w:r/>
            <w:r>
              <w:rPr>
                <w:rFonts w:ascii="Calibri" w:hAnsi="Calibri" w:eastAsia="Calibri"/>
                <w:b/>
                <w:i w:val="0"/>
                <w:color w:val="FFFFFF"/>
                <w:sz w:val="17"/>
              </w:rPr>
              <w:t>Assistant juridique</w:t>
            </w:r>
          </w:p>
        </w:tc>
        <w:tc>
          <w:tcPr>
            <w:tcW w:type="dxa" w:w="1531"/>
            <w:shd w:fill="0B1A4D" w:val="clear"/>
          </w:tcPr>
          <w:p>
            <w:pPr>
              <w:spacing w:after="60" w:before="60"/>
            </w:pPr>
            <w:r/>
            <w:r>
              <w:rPr>
                <w:rFonts w:ascii="Calibri" w:hAnsi="Calibri" w:eastAsia="Calibri"/>
                <w:b/>
                <w:i w:val="0"/>
                <w:color w:val="FFFFFF"/>
                <w:sz w:val="17"/>
              </w:rPr>
              <w:t>Admin plateforme</w:t>
            </w:r>
          </w:p>
        </w:tc>
      </w:tr>
      <w:tr>
        <w:tc>
          <w:tcPr>
            <w:tcW w:type="dxa" w:w="3118"/>
          </w:tcPr>
          <w:p>
            <w:pPr>
              <w:spacing w:after="50" w:before="50"/>
            </w:pPr>
            <w:r/>
            <w:r>
              <w:rPr>
                <w:rFonts w:ascii="Calibri" w:hAnsi="Calibri" w:eastAsia="Calibri"/>
                <w:b w:val="0"/>
                <w:i w:val="0"/>
                <w:color w:val="1E293B"/>
                <w:sz w:val="17"/>
              </w:rPr>
              <w:t>Créer / modifier un dossier</w:t>
            </w:r>
          </w:p>
        </w:tc>
        <w:tc>
          <w:tcPr>
            <w:tcW w:type="dxa" w:w="1587"/>
          </w:tcPr>
          <w:p>
            <w:pPr>
              <w:spacing w:after="50" w:before="50"/>
            </w:pPr>
            <w:r/>
            <w:r>
              <w:rPr>
                <w:rFonts w:ascii="Calibri" w:hAnsi="Calibri" w:eastAsia="Calibri"/>
                <w:b w:val="0"/>
                <w:i w:val="0"/>
                <w:color w:val="1E293B"/>
                <w:sz w:val="17"/>
              </w:rPr>
              <w:t>Oui</w:t>
            </w:r>
          </w:p>
        </w:tc>
        <w:tc>
          <w:tcPr>
            <w:tcW w:type="dxa" w:w="1587"/>
          </w:tcPr>
          <w:p>
            <w:pPr>
              <w:spacing w:after="50" w:before="50"/>
            </w:pPr>
            <w:r/>
            <w:r>
              <w:rPr>
                <w:rFonts w:ascii="Calibri" w:hAnsi="Calibri" w:eastAsia="Calibri"/>
                <w:b w:val="0"/>
                <w:i w:val="0"/>
                <w:color w:val="1E293B"/>
                <w:sz w:val="17"/>
              </w:rPr>
              <w:t>Oui</w:t>
            </w:r>
          </w:p>
        </w:tc>
        <w:tc>
          <w:tcPr>
            <w:tcW w:type="dxa" w:w="1814"/>
          </w:tcPr>
          <w:p>
            <w:pPr>
              <w:spacing w:after="50" w:before="50"/>
            </w:pPr>
            <w:r/>
            <w:r>
              <w:rPr>
                <w:rFonts w:ascii="Calibri" w:hAnsi="Calibri" w:eastAsia="Calibri"/>
                <w:b w:val="0"/>
                <w:i w:val="0"/>
                <w:color w:val="1E293B"/>
                <w:sz w:val="17"/>
              </w:rPr>
              <w:t>Lecture / Pièces</w:t>
            </w:r>
          </w:p>
        </w:tc>
        <w:tc>
          <w:tcPr>
            <w:tcW w:type="dxa" w:w="1531"/>
          </w:tcPr>
          <w:p>
            <w:pPr>
              <w:spacing w:after="50" w:before="50"/>
            </w:pPr>
            <w:r/>
            <w:r>
              <w:rPr>
                <w:rFonts w:ascii="Calibri" w:hAnsi="Calibri" w:eastAsia="Calibri"/>
                <w:b w:val="0"/>
                <w:i w:val="0"/>
                <w:color w:val="1E293B"/>
                <w:sz w:val="17"/>
              </w:rPr>
              <w:t>Non (étanchéité)</w:t>
            </w:r>
          </w:p>
        </w:tc>
      </w:tr>
      <w:tr>
        <w:tc>
          <w:tcPr>
            <w:tcW w:type="dxa" w:w="3118"/>
            <w:shd w:fill="F8FAFC" w:val="clear"/>
          </w:tcPr>
          <w:p>
            <w:pPr>
              <w:spacing w:after="50" w:before="50"/>
            </w:pPr>
            <w:r/>
            <w:r>
              <w:rPr>
                <w:rFonts w:ascii="Calibri" w:hAnsi="Calibri" w:eastAsia="Calibri"/>
                <w:b w:val="0"/>
                <w:i w:val="0"/>
                <w:color w:val="1E293B"/>
                <w:sz w:val="17"/>
              </w:rPr>
              <w:t>Uploader / indexer des pièces</w:t>
            </w:r>
          </w:p>
        </w:tc>
        <w:tc>
          <w:tcPr>
            <w:tcW w:type="dxa" w:w="1587"/>
            <w:shd w:fill="F8FAFC" w:val="clear"/>
          </w:tcPr>
          <w:p>
            <w:pPr>
              <w:spacing w:after="50" w:before="50"/>
            </w:pPr>
            <w:r/>
            <w:r>
              <w:rPr>
                <w:rFonts w:ascii="Calibri" w:hAnsi="Calibri" w:eastAsia="Calibri"/>
                <w:b w:val="0"/>
                <w:i w:val="0"/>
                <w:color w:val="1E293B"/>
                <w:sz w:val="17"/>
              </w:rPr>
              <w:t>Oui</w:t>
            </w:r>
          </w:p>
        </w:tc>
        <w:tc>
          <w:tcPr>
            <w:tcW w:type="dxa" w:w="1587"/>
            <w:shd w:fill="F8FAFC" w:val="clear"/>
          </w:tcPr>
          <w:p>
            <w:pPr>
              <w:spacing w:after="50" w:before="50"/>
            </w:pPr>
            <w:r/>
            <w:r>
              <w:rPr>
                <w:rFonts w:ascii="Calibri" w:hAnsi="Calibri" w:eastAsia="Calibri"/>
                <w:b w:val="0"/>
                <w:i w:val="0"/>
                <w:color w:val="1E293B"/>
                <w:sz w:val="17"/>
              </w:rPr>
              <w:t>Oui</w:t>
            </w:r>
          </w:p>
        </w:tc>
        <w:tc>
          <w:tcPr>
            <w:tcW w:type="dxa" w:w="1814"/>
            <w:shd w:fill="F8FAFC" w:val="clear"/>
          </w:tcPr>
          <w:p>
            <w:pPr>
              <w:spacing w:after="50" w:before="50"/>
            </w:pPr>
            <w:r/>
            <w:r>
              <w:rPr>
                <w:rFonts w:ascii="Calibri" w:hAnsi="Calibri" w:eastAsia="Calibri"/>
                <w:b w:val="0"/>
                <w:i w:val="0"/>
                <w:color w:val="1E293B"/>
                <w:sz w:val="17"/>
              </w:rPr>
              <w:t>Oui</w:t>
            </w:r>
          </w:p>
        </w:tc>
        <w:tc>
          <w:tcPr>
            <w:tcW w:type="dxa" w:w="1531"/>
            <w:shd w:fill="F8FAFC" w:val="clear"/>
          </w:tcPr>
          <w:p>
            <w:pPr>
              <w:spacing w:after="50" w:before="50"/>
            </w:pPr>
            <w:r/>
            <w:r>
              <w:rPr>
                <w:rFonts w:ascii="Calibri" w:hAnsi="Calibri" w:eastAsia="Calibri"/>
                <w:b w:val="0"/>
                <w:i w:val="0"/>
                <w:color w:val="1E293B"/>
                <w:sz w:val="17"/>
              </w:rPr>
              <w:t>Non</w:t>
            </w:r>
          </w:p>
        </w:tc>
      </w:tr>
      <w:tr>
        <w:tc>
          <w:tcPr>
            <w:tcW w:type="dxa" w:w="3118"/>
          </w:tcPr>
          <w:p>
            <w:pPr>
              <w:spacing w:after="50" w:before="50"/>
            </w:pPr>
            <w:r/>
            <w:r>
              <w:rPr>
                <w:rFonts w:ascii="Calibri" w:hAnsi="Calibri" w:eastAsia="Calibri"/>
                <w:b w:val="0"/>
                <w:i w:val="0"/>
                <w:color w:val="1E293B"/>
                <w:sz w:val="17"/>
              </w:rPr>
              <w:t>Dictée vocale &amp; rédaction</w:t>
            </w:r>
          </w:p>
        </w:tc>
        <w:tc>
          <w:tcPr>
            <w:tcW w:type="dxa" w:w="1587"/>
          </w:tcPr>
          <w:p>
            <w:pPr>
              <w:spacing w:after="50" w:before="50"/>
            </w:pPr>
            <w:r/>
            <w:r>
              <w:rPr>
                <w:rFonts w:ascii="Calibri" w:hAnsi="Calibri" w:eastAsia="Calibri"/>
                <w:b w:val="0"/>
                <w:i w:val="0"/>
                <w:color w:val="1E293B"/>
                <w:sz w:val="17"/>
              </w:rPr>
              <w:t>Oui</w:t>
            </w:r>
          </w:p>
        </w:tc>
        <w:tc>
          <w:tcPr>
            <w:tcW w:type="dxa" w:w="1587"/>
          </w:tcPr>
          <w:p>
            <w:pPr>
              <w:spacing w:after="50" w:before="50"/>
            </w:pPr>
            <w:r/>
            <w:r>
              <w:rPr>
                <w:rFonts w:ascii="Calibri" w:hAnsi="Calibri" w:eastAsia="Calibri"/>
                <w:b w:val="0"/>
                <w:i w:val="0"/>
                <w:color w:val="1E293B"/>
                <w:sz w:val="17"/>
              </w:rPr>
              <w:t>Oui</w:t>
            </w:r>
          </w:p>
        </w:tc>
        <w:tc>
          <w:tcPr>
            <w:tcW w:type="dxa" w:w="1814"/>
          </w:tcPr>
          <w:p>
            <w:pPr>
              <w:spacing w:after="50" w:before="50"/>
            </w:pPr>
            <w:r/>
            <w:r>
              <w:rPr>
                <w:rFonts w:ascii="Calibri" w:hAnsi="Calibri" w:eastAsia="Calibri"/>
                <w:b w:val="0"/>
                <w:i w:val="0"/>
                <w:color w:val="1E293B"/>
                <w:sz w:val="17"/>
              </w:rPr>
              <w:t>Non</w:t>
            </w:r>
          </w:p>
        </w:tc>
        <w:tc>
          <w:tcPr>
            <w:tcW w:type="dxa" w:w="1531"/>
          </w:tcPr>
          <w:p>
            <w:pPr>
              <w:spacing w:after="50" w:before="50"/>
            </w:pPr>
            <w:r/>
            <w:r>
              <w:rPr>
                <w:rFonts w:ascii="Calibri" w:hAnsi="Calibri" w:eastAsia="Calibri"/>
                <w:b w:val="0"/>
                <w:i w:val="0"/>
                <w:color w:val="1E293B"/>
                <w:sz w:val="17"/>
              </w:rPr>
              <w:t>Non</w:t>
            </w:r>
          </w:p>
        </w:tc>
      </w:tr>
      <w:tr>
        <w:tc>
          <w:tcPr>
            <w:tcW w:type="dxa" w:w="3118"/>
            <w:shd w:fill="F8FAFC" w:val="clear"/>
          </w:tcPr>
          <w:p>
            <w:pPr>
              <w:spacing w:after="50" w:before="50"/>
            </w:pPr>
            <w:r/>
            <w:r>
              <w:rPr>
                <w:rFonts w:ascii="Calibri" w:hAnsi="Calibri" w:eastAsia="Calibri"/>
                <w:b w:val="0"/>
                <w:i w:val="0"/>
                <w:color w:val="1E293B"/>
                <w:sz w:val="17"/>
              </w:rPr>
              <w:t>Révision assistée par IA</w:t>
            </w:r>
          </w:p>
        </w:tc>
        <w:tc>
          <w:tcPr>
            <w:tcW w:type="dxa" w:w="1587"/>
            <w:shd w:fill="F8FAFC" w:val="clear"/>
          </w:tcPr>
          <w:p>
            <w:pPr>
              <w:spacing w:after="50" w:before="50"/>
            </w:pPr>
            <w:r/>
            <w:r>
              <w:rPr>
                <w:rFonts w:ascii="Calibri" w:hAnsi="Calibri" w:eastAsia="Calibri"/>
                <w:b w:val="0"/>
                <w:i w:val="0"/>
                <w:color w:val="1E293B"/>
                <w:sz w:val="17"/>
              </w:rPr>
              <w:t>Oui</w:t>
            </w:r>
          </w:p>
        </w:tc>
        <w:tc>
          <w:tcPr>
            <w:tcW w:type="dxa" w:w="1587"/>
            <w:shd w:fill="F8FAFC" w:val="clear"/>
          </w:tcPr>
          <w:p>
            <w:pPr>
              <w:spacing w:after="50" w:before="50"/>
            </w:pPr>
            <w:r/>
            <w:r>
              <w:rPr>
                <w:rFonts w:ascii="Calibri" w:hAnsi="Calibri" w:eastAsia="Calibri"/>
                <w:b w:val="0"/>
                <w:i w:val="0"/>
                <w:color w:val="1E293B"/>
                <w:sz w:val="17"/>
              </w:rPr>
              <w:t>Oui</w:t>
            </w:r>
          </w:p>
        </w:tc>
        <w:tc>
          <w:tcPr>
            <w:tcW w:type="dxa" w:w="1814"/>
            <w:shd w:fill="F8FAFC" w:val="clear"/>
          </w:tcPr>
          <w:p>
            <w:pPr>
              <w:spacing w:after="50" w:before="50"/>
            </w:pPr>
            <w:r/>
            <w:r>
              <w:rPr>
                <w:rFonts w:ascii="Calibri" w:hAnsi="Calibri" w:eastAsia="Calibri"/>
                <w:b w:val="0"/>
                <w:i w:val="0"/>
                <w:color w:val="1E293B"/>
                <w:sz w:val="17"/>
              </w:rPr>
              <w:t>Non</w:t>
            </w:r>
          </w:p>
        </w:tc>
        <w:tc>
          <w:tcPr>
            <w:tcW w:type="dxa" w:w="1531"/>
            <w:shd w:fill="F8FAFC" w:val="clear"/>
          </w:tcPr>
          <w:p>
            <w:pPr>
              <w:spacing w:after="50" w:before="50"/>
            </w:pPr>
            <w:r/>
            <w:r>
              <w:rPr>
                <w:rFonts w:ascii="Calibri" w:hAnsi="Calibri" w:eastAsia="Calibri"/>
                <w:b w:val="0"/>
                <w:i w:val="0"/>
                <w:color w:val="1E293B"/>
                <w:sz w:val="17"/>
              </w:rPr>
              <w:t>Non</w:t>
            </w:r>
          </w:p>
        </w:tc>
      </w:tr>
      <w:tr>
        <w:tc>
          <w:tcPr>
            <w:tcW w:type="dxa" w:w="3118"/>
          </w:tcPr>
          <w:p>
            <w:pPr>
              <w:spacing w:after="50" w:before="50"/>
            </w:pPr>
            <w:r/>
            <w:r>
              <w:rPr>
                <w:rFonts w:ascii="Calibri" w:hAnsi="Calibri" w:eastAsia="Calibri"/>
                <w:b w:val="0"/>
                <w:i w:val="0"/>
                <w:color w:val="1E293B"/>
                <w:sz w:val="17"/>
              </w:rPr>
              <w:t>Générer une Clé de barre</w:t>
            </w:r>
          </w:p>
        </w:tc>
        <w:tc>
          <w:tcPr>
            <w:tcW w:type="dxa" w:w="1587"/>
          </w:tcPr>
          <w:p>
            <w:pPr>
              <w:spacing w:after="50" w:before="50"/>
            </w:pPr>
            <w:r/>
            <w:r>
              <w:rPr>
                <w:rFonts w:ascii="Calibri" w:hAnsi="Calibri" w:eastAsia="Calibri"/>
                <w:b w:val="0"/>
                <w:i w:val="0"/>
                <w:color w:val="1E293B"/>
                <w:sz w:val="17"/>
              </w:rPr>
              <w:t>Oui</w:t>
            </w:r>
          </w:p>
        </w:tc>
        <w:tc>
          <w:tcPr>
            <w:tcW w:type="dxa" w:w="1587"/>
          </w:tcPr>
          <w:p>
            <w:pPr>
              <w:spacing w:after="50" w:before="50"/>
            </w:pPr>
            <w:r/>
            <w:r>
              <w:rPr>
                <w:rFonts w:ascii="Calibri" w:hAnsi="Calibri" w:eastAsia="Calibri"/>
                <w:b w:val="0"/>
                <w:i w:val="0"/>
                <w:color w:val="1E293B"/>
                <w:sz w:val="17"/>
              </w:rPr>
              <w:t>Oui</w:t>
            </w:r>
          </w:p>
        </w:tc>
        <w:tc>
          <w:tcPr>
            <w:tcW w:type="dxa" w:w="1814"/>
          </w:tcPr>
          <w:p>
            <w:pPr>
              <w:spacing w:after="50" w:before="50"/>
            </w:pPr>
            <w:r/>
            <w:r>
              <w:rPr>
                <w:rFonts w:ascii="Calibri" w:hAnsi="Calibri" w:eastAsia="Calibri"/>
                <w:b w:val="0"/>
                <w:i w:val="0"/>
                <w:color w:val="1E293B"/>
                <w:sz w:val="17"/>
              </w:rPr>
              <w:t>Non</w:t>
            </w:r>
          </w:p>
        </w:tc>
        <w:tc>
          <w:tcPr>
            <w:tcW w:type="dxa" w:w="1531"/>
          </w:tcPr>
          <w:p>
            <w:pPr>
              <w:spacing w:after="50" w:before="50"/>
            </w:pPr>
            <w:r/>
            <w:r>
              <w:rPr>
                <w:rFonts w:ascii="Calibri" w:hAnsi="Calibri" w:eastAsia="Calibri"/>
                <w:b w:val="0"/>
                <w:i w:val="0"/>
                <w:color w:val="1E293B"/>
                <w:sz w:val="17"/>
              </w:rPr>
              <w:t>Non</w:t>
            </w:r>
          </w:p>
        </w:tc>
      </w:tr>
      <w:tr>
        <w:tc>
          <w:tcPr>
            <w:tcW w:type="dxa" w:w="3118"/>
            <w:shd w:fill="F8FAFC" w:val="clear"/>
          </w:tcPr>
          <w:p>
            <w:pPr>
              <w:spacing w:after="50" w:before="50"/>
            </w:pPr>
            <w:r/>
            <w:r>
              <w:rPr>
                <w:rFonts w:ascii="Calibri" w:hAnsi="Calibri" w:eastAsia="Calibri"/>
                <w:b w:val="0"/>
                <w:i w:val="0"/>
                <w:color w:val="1E293B"/>
                <w:sz w:val="17"/>
              </w:rPr>
              <w:t>Export officiel Word (.docx)</w:t>
            </w:r>
          </w:p>
        </w:tc>
        <w:tc>
          <w:tcPr>
            <w:tcW w:type="dxa" w:w="1587"/>
            <w:shd w:fill="F8FAFC" w:val="clear"/>
          </w:tcPr>
          <w:p>
            <w:pPr>
              <w:spacing w:after="50" w:before="50"/>
            </w:pPr>
            <w:r/>
            <w:r>
              <w:rPr>
                <w:rFonts w:ascii="Calibri" w:hAnsi="Calibri" w:eastAsia="Calibri"/>
                <w:b w:val="0"/>
                <w:i w:val="0"/>
                <w:color w:val="1E293B"/>
                <w:sz w:val="17"/>
              </w:rPr>
              <w:t>Oui</w:t>
            </w:r>
          </w:p>
        </w:tc>
        <w:tc>
          <w:tcPr>
            <w:tcW w:type="dxa" w:w="1587"/>
            <w:shd w:fill="F8FAFC" w:val="clear"/>
          </w:tcPr>
          <w:p>
            <w:pPr>
              <w:spacing w:after="50" w:before="50"/>
            </w:pPr>
            <w:r/>
            <w:r>
              <w:rPr>
                <w:rFonts w:ascii="Calibri" w:hAnsi="Calibri" w:eastAsia="Calibri"/>
                <w:b w:val="0"/>
                <w:i w:val="0"/>
                <w:color w:val="1E293B"/>
                <w:sz w:val="17"/>
              </w:rPr>
              <w:t>Oui</w:t>
            </w:r>
          </w:p>
        </w:tc>
        <w:tc>
          <w:tcPr>
            <w:tcW w:type="dxa" w:w="1814"/>
            <w:shd w:fill="F8FAFC" w:val="clear"/>
          </w:tcPr>
          <w:p>
            <w:pPr>
              <w:spacing w:after="50" w:before="50"/>
            </w:pPr>
            <w:r/>
            <w:r>
              <w:rPr>
                <w:rFonts w:ascii="Calibri" w:hAnsi="Calibri" w:eastAsia="Calibri"/>
                <w:b w:val="0"/>
                <w:i w:val="0"/>
                <w:color w:val="1E293B"/>
                <w:sz w:val="17"/>
              </w:rPr>
              <w:t>Lecture seule</w:t>
            </w:r>
          </w:p>
        </w:tc>
        <w:tc>
          <w:tcPr>
            <w:tcW w:type="dxa" w:w="1531"/>
            <w:shd w:fill="F8FAFC" w:val="clear"/>
          </w:tcPr>
          <w:p>
            <w:pPr>
              <w:spacing w:after="50" w:before="50"/>
            </w:pPr>
            <w:r/>
            <w:r>
              <w:rPr>
                <w:rFonts w:ascii="Calibri" w:hAnsi="Calibri" w:eastAsia="Calibri"/>
                <w:b w:val="0"/>
                <w:i w:val="0"/>
                <w:color w:val="1E293B"/>
                <w:sz w:val="17"/>
              </w:rPr>
              <w:t>Non</w:t>
            </w:r>
          </w:p>
        </w:tc>
      </w:tr>
      <w:tr>
        <w:tc>
          <w:tcPr>
            <w:tcW w:type="dxa" w:w="3118"/>
          </w:tcPr>
          <w:p>
            <w:pPr>
              <w:spacing w:after="50" w:before="50"/>
            </w:pPr>
            <w:r/>
            <w:r>
              <w:rPr>
                <w:rFonts w:ascii="Calibri" w:hAnsi="Calibri" w:eastAsia="Calibri"/>
                <w:b w:val="0"/>
                <w:i w:val="0"/>
                <w:color w:val="1E293B"/>
                <w:sz w:val="17"/>
              </w:rPr>
              <w:t>Valider une plaidoirie</w:t>
            </w:r>
          </w:p>
        </w:tc>
        <w:tc>
          <w:tcPr>
            <w:tcW w:type="dxa" w:w="1587"/>
          </w:tcPr>
          <w:p>
            <w:pPr>
              <w:spacing w:after="50" w:before="50"/>
            </w:pPr>
            <w:r/>
            <w:r>
              <w:rPr>
                <w:rFonts w:ascii="Calibri" w:hAnsi="Calibri" w:eastAsia="Calibri"/>
                <w:b w:val="0"/>
                <w:i w:val="0"/>
                <w:color w:val="1E293B"/>
                <w:sz w:val="17"/>
              </w:rPr>
              <w:t>Oui</w:t>
            </w:r>
          </w:p>
        </w:tc>
        <w:tc>
          <w:tcPr>
            <w:tcW w:type="dxa" w:w="1587"/>
          </w:tcPr>
          <w:p>
            <w:pPr>
              <w:spacing w:after="50" w:before="50"/>
            </w:pPr>
            <w:r/>
            <w:r>
              <w:rPr>
                <w:rFonts w:ascii="Calibri" w:hAnsi="Calibri" w:eastAsia="Calibri"/>
                <w:b w:val="0"/>
                <w:i w:val="0"/>
                <w:color w:val="1E293B"/>
                <w:sz w:val="17"/>
              </w:rPr>
              <w:t>Oui</w:t>
            </w:r>
          </w:p>
        </w:tc>
        <w:tc>
          <w:tcPr>
            <w:tcW w:type="dxa" w:w="1814"/>
          </w:tcPr>
          <w:p>
            <w:pPr>
              <w:spacing w:after="50" w:before="50"/>
            </w:pPr>
            <w:r/>
            <w:r>
              <w:rPr>
                <w:rFonts w:ascii="Calibri" w:hAnsi="Calibri" w:eastAsia="Calibri"/>
                <w:b w:val="0"/>
                <w:i w:val="0"/>
                <w:color w:val="1E293B"/>
                <w:sz w:val="17"/>
              </w:rPr>
              <w:t>Non</w:t>
            </w:r>
          </w:p>
        </w:tc>
        <w:tc>
          <w:tcPr>
            <w:tcW w:type="dxa" w:w="1531"/>
          </w:tcPr>
          <w:p>
            <w:pPr>
              <w:spacing w:after="50" w:before="50"/>
            </w:pPr>
            <w:r/>
            <w:r>
              <w:rPr>
                <w:rFonts w:ascii="Calibri" w:hAnsi="Calibri" w:eastAsia="Calibri"/>
                <w:b w:val="0"/>
                <w:i w:val="0"/>
                <w:color w:val="1E293B"/>
                <w:sz w:val="17"/>
              </w:rPr>
              <w:t>Non</w:t>
            </w:r>
          </w:p>
        </w:tc>
      </w:tr>
      <w:tr>
        <w:tc>
          <w:tcPr>
            <w:tcW w:type="dxa" w:w="3118"/>
            <w:shd w:fill="F8FAFC" w:val="clear"/>
          </w:tcPr>
          <w:p>
            <w:pPr>
              <w:spacing w:after="50" w:before="50"/>
            </w:pPr>
            <w:r/>
            <w:r>
              <w:rPr>
                <w:rFonts w:ascii="Calibri" w:hAnsi="Calibri" w:eastAsia="Calibri"/>
                <w:b w:val="0"/>
                <w:i w:val="0"/>
                <w:color w:val="1E293B"/>
                <w:sz w:val="17"/>
              </w:rPr>
              <w:t>Gérer l'équipe (invitations)</w:t>
            </w:r>
          </w:p>
        </w:tc>
        <w:tc>
          <w:tcPr>
            <w:tcW w:type="dxa" w:w="1587"/>
            <w:shd w:fill="F8FAFC" w:val="clear"/>
          </w:tcPr>
          <w:p>
            <w:pPr>
              <w:spacing w:after="50" w:before="50"/>
            </w:pPr>
            <w:r/>
            <w:r>
              <w:rPr>
                <w:rFonts w:ascii="Calibri" w:hAnsi="Calibri" w:eastAsia="Calibri"/>
                <w:b w:val="0"/>
                <w:i w:val="0"/>
                <w:color w:val="1E293B"/>
                <w:sz w:val="17"/>
              </w:rPr>
              <w:t>Oui</w:t>
            </w:r>
          </w:p>
        </w:tc>
        <w:tc>
          <w:tcPr>
            <w:tcW w:type="dxa" w:w="1587"/>
            <w:shd w:fill="F8FAFC" w:val="clear"/>
          </w:tcPr>
          <w:p>
            <w:pPr>
              <w:spacing w:after="50" w:before="50"/>
            </w:pPr>
            <w:r/>
            <w:r>
              <w:rPr>
                <w:rFonts w:ascii="Calibri" w:hAnsi="Calibri" w:eastAsia="Calibri"/>
                <w:b w:val="0"/>
                <w:i w:val="0"/>
                <w:color w:val="1E293B"/>
                <w:sz w:val="17"/>
              </w:rPr>
              <w:t>Non</w:t>
            </w:r>
          </w:p>
        </w:tc>
        <w:tc>
          <w:tcPr>
            <w:tcW w:type="dxa" w:w="1814"/>
            <w:shd w:fill="F8FAFC" w:val="clear"/>
          </w:tcPr>
          <w:p>
            <w:pPr>
              <w:spacing w:after="50" w:before="50"/>
            </w:pPr>
            <w:r/>
            <w:r>
              <w:rPr>
                <w:rFonts w:ascii="Calibri" w:hAnsi="Calibri" w:eastAsia="Calibri"/>
                <w:b w:val="0"/>
                <w:i w:val="0"/>
                <w:color w:val="1E293B"/>
                <w:sz w:val="17"/>
              </w:rPr>
              <w:t>Non</w:t>
            </w:r>
          </w:p>
        </w:tc>
        <w:tc>
          <w:tcPr>
            <w:tcW w:type="dxa" w:w="1531"/>
            <w:shd w:fill="F8FAFC" w:val="clear"/>
          </w:tcPr>
          <w:p>
            <w:pPr>
              <w:spacing w:after="50" w:before="50"/>
            </w:pPr>
            <w:r/>
            <w:r>
              <w:rPr>
                <w:rFonts w:ascii="Calibri" w:hAnsi="Calibri" w:eastAsia="Calibri"/>
                <w:b w:val="0"/>
                <w:i w:val="0"/>
                <w:color w:val="1E293B"/>
                <w:sz w:val="17"/>
              </w:rPr>
              <w:t>Non</w:t>
            </w:r>
          </w:p>
        </w:tc>
      </w:tr>
      <w:tr>
        <w:tc>
          <w:tcPr>
            <w:tcW w:type="dxa" w:w="3118"/>
          </w:tcPr>
          <w:p>
            <w:pPr>
              <w:spacing w:after="50" w:before="50"/>
            </w:pPr>
            <w:r/>
            <w:r>
              <w:rPr>
                <w:rFonts w:ascii="Calibri" w:hAnsi="Calibri" w:eastAsia="Calibri"/>
                <w:b w:val="0"/>
                <w:i w:val="0"/>
                <w:color w:val="1E293B"/>
                <w:sz w:val="17"/>
              </w:rPr>
              <w:t>Gestion abonnement &amp; packs</w:t>
            </w:r>
          </w:p>
        </w:tc>
        <w:tc>
          <w:tcPr>
            <w:tcW w:type="dxa" w:w="1587"/>
          </w:tcPr>
          <w:p>
            <w:pPr>
              <w:spacing w:after="50" w:before="50"/>
            </w:pPr>
            <w:r/>
            <w:r>
              <w:rPr>
                <w:rFonts w:ascii="Calibri" w:hAnsi="Calibri" w:eastAsia="Calibri"/>
                <w:b w:val="0"/>
                <w:i w:val="0"/>
                <w:color w:val="1E293B"/>
                <w:sz w:val="17"/>
              </w:rPr>
              <w:t>Oui</w:t>
            </w:r>
          </w:p>
        </w:tc>
        <w:tc>
          <w:tcPr>
            <w:tcW w:type="dxa" w:w="1587"/>
          </w:tcPr>
          <w:p>
            <w:pPr>
              <w:spacing w:after="50" w:before="50"/>
            </w:pPr>
            <w:r/>
            <w:r>
              <w:rPr>
                <w:rFonts w:ascii="Calibri" w:hAnsi="Calibri" w:eastAsia="Calibri"/>
                <w:b w:val="0"/>
                <w:i w:val="0"/>
                <w:color w:val="1E293B"/>
                <w:sz w:val="17"/>
              </w:rPr>
              <w:t>Lecture quotas</w:t>
            </w:r>
          </w:p>
        </w:tc>
        <w:tc>
          <w:tcPr>
            <w:tcW w:type="dxa" w:w="1814"/>
          </w:tcPr>
          <w:p>
            <w:pPr>
              <w:spacing w:after="50" w:before="50"/>
            </w:pPr>
            <w:r/>
            <w:r>
              <w:rPr>
                <w:rFonts w:ascii="Calibri" w:hAnsi="Calibri" w:eastAsia="Calibri"/>
                <w:b w:val="0"/>
                <w:i w:val="0"/>
                <w:color w:val="1E293B"/>
                <w:sz w:val="17"/>
              </w:rPr>
              <w:t>Lecture quotas</w:t>
            </w:r>
          </w:p>
        </w:tc>
        <w:tc>
          <w:tcPr>
            <w:tcW w:type="dxa" w:w="1531"/>
          </w:tcPr>
          <w:p>
            <w:pPr>
              <w:spacing w:after="50" w:before="50"/>
            </w:pPr>
            <w:r/>
            <w:r>
              <w:rPr>
                <w:rFonts w:ascii="Calibri" w:hAnsi="Calibri" w:eastAsia="Calibri"/>
                <w:b w:val="0"/>
                <w:i w:val="0"/>
                <w:color w:val="1E293B"/>
                <w:sz w:val="17"/>
              </w:rPr>
              <w:t>Supervision</w:t>
            </w:r>
          </w:p>
        </w:tc>
      </w:tr>
      <w:tr>
        <w:tc>
          <w:tcPr>
            <w:tcW w:type="dxa" w:w="3118"/>
            <w:shd w:fill="F8FAFC" w:val="clear"/>
          </w:tcPr>
          <w:p>
            <w:pPr>
              <w:spacing w:after="50" w:before="50"/>
            </w:pPr>
            <w:r/>
            <w:r>
              <w:rPr>
                <w:rFonts w:ascii="Calibri" w:hAnsi="Calibri" w:eastAsia="Calibri"/>
                <w:b w:val="0"/>
                <w:i w:val="0"/>
                <w:color w:val="1E293B"/>
                <w:sz w:val="17"/>
              </w:rPr>
              <w:t>Accès console globale /admin</w:t>
            </w:r>
          </w:p>
        </w:tc>
        <w:tc>
          <w:tcPr>
            <w:tcW w:type="dxa" w:w="1587"/>
            <w:shd w:fill="F8FAFC" w:val="clear"/>
          </w:tcPr>
          <w:p>
            <w:pPr>
              <w:spacing w:after="50" w:before="50"/>
            </w:pPr>
            <w:r/>
            <w:r>
              <w:rPr>
                <w:rFonts w:ascii="Calibri" w:hAnsi="Calibri" w:eastAsia="Calibri"/>
                <w:b w:val="0"/>
                <w:i w:val="0"/>
                <w:color w:val="1E293B"/>
                <w:sz w:val="17"/>
              </w:rPr>
              <w:t>Non</w:t>
            </w:r>
          </w:p>
        </w:tc>
        <w:tc>
          <w:tcPr>
            <w:tcW w:type="dxa" w:w="1587"/>
            <w:shd w:fill="F8FAFC" w:val="clear"/>
          </w:tcPr>
          <w:p>
            <w:pPr>
              <w:spacing w:after="50" w:before="50"/>
            </w:pPr>
            <w:r/>
            <w:r>
              <w:rPr>
                <w:rFonts w:ascii="Calibri" w:hAnsi="Calibri" w:eastAsia="Calibri"/>
                <w:b w:val="0"/>
                <w:i w:val="0"/>
                <w:color w:val="1E293B"/>
                <w:sz w:val="17"/>
              </w:rPr>
              <w:t>Non</w:t>
            </w:r>
          </w:p>
        </w:tc>
        <w:tc>
          <w:tcPr>
            <w:tcW w:type="dxa" w:w="1814"/>
            <w:shd w:fill="F8FAFC" w:val="clear"/>
          </w:tcPr>
          <w:p>
            <w:pPr>
              <w:spacing w:after="50" w:before="50"/>
            </w:pPr>
            <w:r/>
            <w:r>
              <w:rPr>
                <w:rFonts w:ascii="Calibri" w:hAnsi="Calibri" w:eastAsia="Calibri"/>
                <w:b w:val="0"/>
                <w:i w:val="0"/>
                <w:color w:val="1E293B"/>
                <w:sz w:val="17"/>
              </w:rPr>
              <w:t>Non</w:t>
            </w:r>
          </w:p>
        </w:tc>
        <w:tc>
          <w:tcPr>
            <w:tcW w:type="dxa" w:w="1531"/>
            <w:shd w:fill="F8FAFC" w:val="clear"/>
          </w:tcPr>
          <w:p>
            <w:pPr>
              <w:spacing w:after="50" w:before="50"/>
            </w:pPr>
            <w:r/>
            <w:r>
              <w:rPr>
                <w:rFonts w:ascii="Calibri" w:hAnsi="Calibri" w:eastAsia="Calibri"/>
                <w:b w:val="0"/>
                <w:i w:val="0"/>
                <w:color w:val="1E293B"/>
                <w:sz w:val="17"/>
              </w:rPr>
              <w:t>Oui (exclusif)</w:t>
            </w:r>
          </w:p>
        </w:tc>
      </w:tr>
      <w:tr>
        <w:tc>
          <w:tcPr>
            <w:tcW w:type="dxa" w:w="3118"/>
          </w:tcPr>
          <w:p>
            <w:pPr>
              <w:spacing w:after="50" w:before="50"/>
            </w:pPr>
            <w:r/>
            <w:r>
              <w:rPr>
                <w:rFonts w:ascii="Calibri" w:hAnsi="Calibri" w:eastAsia="Calibri"/>
                <w:b w:val="0"/>
                <w:i w:val="0"/>
                <w:color w:val="1E293B"/>
                <w:sz w:val="17"/>
              </w:rPr>
              <w:t>Supprimer un cabinet</w:t>
            </w:r>
          </w:p>
        </w:tc>
        <w:tc>
          <w:tcPr>
            <w:tcW w:type="dxa" w:w="1587"/>
          </w:tcPr>
          <w:p>
            <w:pPr>
              <w:spacing w:after="50" w:before="50"/>
            </w:pPr>
            <w:r/>
            <w:r>
              <w:rPr>
                <w:rFonts w:ascii="Calibri" w:hAnsi="Calibri" w:eastAsia="Calibri"/>
                <w:b w:val="0"/>
                <w:i w:val="0"/>
                <w:color w:val="1E293B"/>
                <w:sz w:val="17"/>
              </w:rPr>
              <w:t>Non (zone sensible)</w:t>
            </w:r>
          </w:p>
        </w:tc>
        <w:tc>
          <w:tcPr>
            <w:tcW w:type="dxa" w:w="1587"/>
          </w:tcPr>
          <w:p>
            <w:pPr>
              <w:spacing w:after="50" w:before="50"/>
            </w:pPr>
            <w:r/>
            <w:r>
              <w:rPr>
                <w:rFonts w:ascii="Calibri" w:hAnsi="Calibri" w:eastAsia="Calibri"/>
                <w:b w:val="0"/>
                <w:i w:val="0"/>
                <w:color w:val="1E293B"/>
                <w:sz w:val="17"/>
              </w:rPr>
              <w:t>Non</w:t>
            </w:r>
          </w:p>
        </w:tc>
        <w:tc>
          <w:tcPr>
            <w:tcW w:type="dxa" w:w="1814"/>
          </w:tcPr>
          <w:p>
            <w:pPr>
              <w:spacing w:after="50" w:before="50"/>
            </w:pPr>
            <w:r/>
            <w:r>
              <w:rPr>
                <w:rFonts w:ascii="Calibri" w:hAnsi="Calibri" w:eastAsia="Calibri"/>
                <w:b w:val="0"/>
                <w:i w:val="0"/>
                <w:color w:val="1E293B"/>
                <w:sz w:val="17"/>
              </w:rPr>
              <w:t>Non</w:t>
            </w:r>
          </w:p>
        </w:tc>
        <w:tc>
          <w:tcPr>
            <w:tcW w:type="dxa" w:w="1531"/>
          </w:tcPr>
          <w:p>
            <w:pPr>
              <w:spacing w:after="50" w:before="50"/>
            </w:pPr>
            <w:r/>
            <w:r>
              <w:rPr>
                <w:rFonts w:ascii="Calibri" w:hAnsi="Calibri" w:eastAsia="Calibri"/>
                <w:b w:val="0"/>
                <w:i w:val="0"/>
                <w:color w:val="1E293B"/>
                <w:sz w:val="17"/>
              </w:rPr>
              <w:t>Oui (avec confirmation)</w:t>
            </w:r>
          </w:p>
        </w:tc>
      </w:tr>
    </w:tbl>
    <w:p>
      <w:pPr>
        <w:spacing w:after="40"/>
      </w:pPr>
    </w:p>
    <w:p>
      <w:pPr>
        <w:pStyle w:val="ListBullet"/>
        <w:spacing w:after="50" w:line="240" w:lineRule="auto"/>
      </w:pPr>
      <w:r>
        <w:rPr>
          <w:rFonts w:ascii="Calibri" w:hAnsi="Calibri" w:eastAsia="Calibri"/>
          <w:b w:val="0"/>
          <w:i w:val="0"/>
          <w:color w:val="1E293B"/>
          <w:sz w:val="19"/>
        </w:rPr>
        <w:t>L'avocat responsable (Admin cabinet) détient la maîtrise juridique, technique et financière de son espace.</w:t>
      </w:r>
    </w:p>
    <w:p>
      <w:pPr>
        <w:pStyle w:val="ListBullet"/>
        <w:spacing w:after="50" w:line="240" w:lineRule="auto"/>
      </w:pPr>
      <w:r>
        <w:rPr>
          <w:rFonts w:ascii="Calibri" w:hAnsi="Calibri" w:eastAsia="Calibri"/>
          <w:b w:val="0"/>
          <w:i w:val="0"/>
          <w:color w:val="1E293B"/>
          <w:sz w:val="19"/>
        </w:rPr>
        <w:t>L'avocat collaborateur dispose de toute la puissance de l'IA rédactionnelle sans charge de gestion administrative.</w:t>
      </w:r>
    </w:p>
    <w:p>
      <w:pPr>
        <w:pStyle w:val="ListBullet"/>
        <w:spacing w:after="50" w:line="240" w:lineRule="auto"/>
      </w:pPr>
      <w:r>
        <w:rPr>
          <w:rFonts w:ascii="Calibri" w:hAnsi="Calibri" w:eastAsia="Calibri"/>
          <w:b w:val="0"/>
          <w:i w:val="0"/>
          <w:color w:val="1E293B"/>
          <w:sz w:val="19"/>
        </w:rPr>
        <w:t>L'assistant juridique décharge l'avocat sur les dépôts de pièces et la consultation des dossiers sans risque de dérapage de quota.</w:t>
      </w:r>
    </w:p>
    <w:p>
      <w:pPr>
        <w:pStyle w:val="Heading2"/>
        <w:keepNext/>
      </w:pPr>
      <w:r>
        <w:rPr>
          <w:rFonts w:ascii="Calibri" w:hAnsi="Calibri"/>
          <w:b/>
          <w:color w:val="0B1A4D"/>
          <w:sz w:val="24"/>
        </w:rPr>
        <w:t>A4. Navigation réelle &amp; interface utilisateur</w:t>
      </w:r>
    </w:p>
    <w:p>
      <w:pPr>
        <w:spacing w:after="100" w:line="240" w:lineRule="auto"/>
      </w:pPr>
      <w:r>
        <w:rPr>
          <w:rFonts w:ascii="Calibri" w:hAnsi="Calibri" w:eastAsia="Calibri"/>
          <w:b w:val="0"/>
          <w:i w:val="0"/>
          <w:color w:val="1E293B"/>
          <w:sz w:val="20"/>
        </w:rPr>
        <w:t>L'ergonomie de LexHub a été spécifiquement conçue pour la pratique judiciaire avec une interface épurée à double niveau :</w:t>
      </w:r>
    </w:p>
    <w:p>
      <w:pPr>
        <w:spacing w:after="100" w:line="240" w:lineRule="auto"/>
      </w:pPr>
      <w:r>
        <w:rPr>
          <w:rFonts w:ascii="Calibri" w:hAnsi="Calibri" w:eastAsia="Calibri"/>
          <w:b/>
          <w:i w:val="0"/>
          <w:color w:val="1E293B"/>
          <w:sz w:val="20"/>
        </w:rPr>
        <w:t>1. Le Dock latéral gauche (Outils quotidiens du cabinet)</w:t>
      </w:r>
    </w:p>
    <w:tbl>
      <w:tblPr>
        <w:tblStyle w:val="TableGrid"/>
        <w:tblW w:type="auto" w:w="0"/>
        <w:tblLayout w:type="fixed"/>
        <w:tblLook w:firstColumn="1" w:firstRow="1" w:lastColumn="0" w:lastRow="0" w:noHBand="0" w:noVBand="1" w:val="04A0"/>
      </w:tblPr>
      <w:tblGrid>
        <w:gridCol w:w="3400"/>
        <w:gridCol w:w="3400"/>
        <w:gridCol w:w="3400"/>
      </w:tblGrid>
      <w:tr>
        <w:tc>
          <w:tcPr>
            <w:tcW w:type="dxa" w:w="2551"/>
            <w:shd w:fill="0B1A4D" w:val="clear"/>
          </w:tcPr>
          <w:p>
            <w:pPr>
              <w:spacing w:after="60" w:before="60"/>
            </w:pPr>
            <w:r/>
            <w:r>
              <w:rPr>
                <w:rFonts w:ascii="Calibri" w:hAnsi="Calibri" w:eastAsia="Calibri"/>
                <w:b/>
                <w:i w:val="0"/>
                <w:color w:val="FFFFFF"/>
                <w:sz w:val="17"/>
              </w:rPr>
              <w:t>Élément</w:t>
            </w:r>
          </w:p>
        </w:tc>
        <w:tc>
          <w:tcPr>
            <w:tcW w:type="dxa" w:w="1701"/>
            <w:shd w:fill="0B1A4D" w:val="clear"/>
          </w:tcPr>
          <w:p>
            <w:pPr>
              <w:spacing w:after="60" w:before="60"/>
            </w:pPr>
            <w:r/>
            <w:r>
              <w:rPr>
                <w:rFonts w:ascii="Calibri" w:hAnsi="Calibri" w:eastAsia="Calibri"/>
                <w:b/>
                <w:i w:val="0"/>
                <w:color w:val="FFFFFF"/>
                <w:sz w:val="17"/>
              </w:rPr>
              <w:t>Route URL</w:t>
            </w:r>
          </w:p>
        </w:tc>
        <w:tc>
          <w:tcPr>
            <w:tcW w:type="dxa" w:w="5386"/>
            <w:shd w:fill="0B1A4D" w:val="clear"/>
          </w:tcPr>
          <w:p>
            <w:pPr>
              <w:spacing w:after="60" w:before="60"/>
            </w:pPr>
            <w:r/>
            <w:r>
              <w:rPr>
                <w:rFonts w:ascii="Calibri" w:hAnsi="Calibri" w:eastAsia="Calibri"/>
                <w:b/>
                <w:i w:val="0"/>
                <w:color w:val="FFFFFF"/>
                <w:sz w:val="17"/>
              </w:rPr>
              <w:t>Rôle dans le cabinet</w:t>
            </w:r>
          </w:p>
        </w:tc>
      </w:tr>
      <w:tr>
        <w:tc>
          <w:tcPr>
            <w:tcW w:type="dxa" w:w="2551"/>
          </w:tcPr>
          <w:p>
            <w:pPr>
              <w:spacing w:after="50" w:before="50"/>
            </w:pPr>
            <w:r/>
            <w:r>
              <w:rPr>
                <w:rFonts w:ascii="Calibri" w:hAnsi="Calibri" w:eastAsia="Calibri"/>
                <w:b w:val="0"/>
                <w:i w:val="0"/>
                <w:color w:val="1E293B"/>
                <w:sz w:val="17"/>
              </w:rPr>
              <w:t>Tableau de bord</w:t>
            </w:r>
          </w:p>
        </w:tc>
        <w:tc>
          <w:tcPr>
            <w:tcW w:type="dxa" w:w="1701"/>
          </w:tcPr>
          <w:p>
            <w:pPr>
              <w:spacing w:after="50" w:before="50"/>
            </w:pPr>
            <w:r/>
            <w:r>
              <w:rPr>
                <w:rFonts w:ascii="Calibri" w:hAnsi="Calibri" w:eastAsia="Calibri"/>
                <w:b w:val="0"/>
                <w:i w:val="0"/>
                <w:color w:val="1E293B"/>
                <w:sz w:val="17"/>
              </w:rPr>
              <w:t>/dashboard</w:t>
            </w:r>
          </w:p>
        </w:tc>
        <w:tc>
          <w:tcPr>
            <w:tcW w:type="dxa" w:w="5386"/>
          </w:tcPr>
          <w:p>
            <w:pPr>
              <w:spacing w:after="50" w:before="50"/>
            </w:pPr>
            <w:r/>
            <w:r>
              <w:rPr>
                <w:rFonts w:ascii="Calibri" w:hAnsi="Calibri" w:eastAsia="Calibri"/>
                <w:b w:val="0"/>
                <w:i w:val="0"/>
                <w:color w:val="1E293B"/>
                <w:sz w:val="17"/>
              </w:rPr>
              <w:t>Vue synthétique : dossiers récents, plaidoiries en cours, alertes délais et raccourcis.</w:t>
            </w:r>
          </w:p>
        </w:tc>
      </w:tr>
      <w:tr>
        <w:tc>
          <w:tcPr>
            <w:tcW w:type="dxa" w:w="2551"/>
            <w:shd w:fill="F8FAFC" w:val="clear"/>
          </w:tcPr>
          <w:p>
            <w:pPr>
              <w:spacing w:after="50" w:before="50"/>
            </w:pPr>
            <w:r/>
            <w:r>
              <w:rPr>
                <w:rFonts w:ascii="Calibri" w:hAnsi="Calibri" w:eastAsia="Calibri"/>
                <w:b w:val="0"/>
                <w:i w:val="0"/>
                <w:color w:val="1E293B"/>
                <w:sz w:val="17"/>
              </w:rPr>
              <w:t>Dossiers</w:t>
            </w:r>
          </w:p>
        </w:tc>
        <w:tc>
          <w:tcPr>
            <w:tcW w:type="dxa" w:w="1701"/>
            <w:shd w:fill="F8FAFC" w:val="clear"/>
          </w:tcPr>
          <w:p>
            <w:pPr>
              <w:spacing w:after="50" w:before="50"/>
            </w:pPr>
            <w:r/>
            <w:r>
              <w:rPr>
                <w:rFonts w:ascii="Calibri" w:hAnsi="Calibri" w:eastAsia="Calibri"/>
                <w:b w:val="0"/>
                <w:i w:val="0"/>
                <w:color w:val="1E293B"/>
                <w:sz w:val="17"/>
              </w:rPr>
              <w:t>/cases</w:t>
            </w:r>
          </w:p>
        </w:tc>
        <w:tc>
          <w:tcPr>
            <w:tcW w:type="dxa" w:w="5386"/>
            <w:shd w:fill="F8FAFC" w:val="clear"/>
          </w:tcPr>
          <w:p>
            <w:pPr>
              <w:spacing w:after="50" w:before="50"/>
            </w:pPr>
            <w:r/>
            <w:r>
              <w:rPr>
                <w:rFonts w:ascii="Calibri" w:hAnsi="Calibri" w:eastAsia="Calibri"/>
                <w:b w:val="0"/>
                <w:i w:val="0"/>
                <w:color w:val="1E293B"/>
                <w:sz w:val="17"/>
              </w:rPr>
              <w:t>Répertoire judiciaire : gestion par client, juridiction, tribunal et matière.</w:t>
            </w:r>
          </w:p>
        </w:tc>
      </w:tr>
      <w:tr>
        <w:tc>
          <w:tcPr>
            <w:tcW w:type="dxa" w:w="2551"/>
          </w:tcPr>
          <w:p>
            <w:pPr>
              <w:spacing w:after="50" w:before="50"/>
            </w:pPr>
            <w:r/>
            <w:r>
              <w:rPr>
                <w:rFonts w:ascii="Calibri" w:hAnsi="Calibri" w:eastAsia="Calibri"/>
                <w:b w:val="0"/>
                <w:i w:val="0"/>
                <w:color w:val="1E293B"/>
                <w:sz w:val="17"/>
              </w:rPr>
              <w:t>Documents</w:t>
            </w:r>
          </w:p>
        </w:tc>
        <w:tc>
          <w:tcPr>
            <w:tcW w:type="dxa" w:w="1701"/>
          </w:tcPr>
          <w:p>
            <w:pPr>
              <w:spacing w:after="50" w:before="50"/>
            </w:pPr>
            <w:r/>
            <w:r>
              <w:rPr>
                <w:rFonts w:ascii="Calibri" w:hAnsi="Calibri" w:eastAsia="Calibri"/>
                <w:b w:val="0"/>
                <w:i w:val="0"/>
                <w:color w:val="1E293B"/>
                <w:sz w:val="17"/>
              </w:rPr>
              <w:t>/documents</w:t>
            </w:r>
          </w:p>
        </w:tc>
        <w:tc>
          <w:tcPr>
            <w:tcW w:type="dxa" w:w="5386"/>
          </w:tcPr>
          <w:p>
            <w:pPr>
              <w:spacing w:after="50" w:before="50"/>
            </w:pPr>
            <w:r/>
            <w:r>
              <w:rPr>
                <w:rFonts w:ascii="Calibri" w:hAnsi="Calibri" w:eastAsia="Calibri"/>
                <w:b w:val="0"/>
                <w:i w:val="0"/>
                <w:color w:val="1E293B"/>
                <w:sz w:val="17"/>
              </w:rPr>
              <w:t>Bordereau centralisé de toutes les pièces déposées et indexées.</w:t>
            </w:r>
          </w:p>
        </w:tc>
      </w:tr>
      <w:tr>
        <w:tc>
          <w:tcPr>
            <w:tcW w:type="dxa" w:w="2551"/>
            <w:shd w:fill="F8FAFC" w:val="clear"/>
          </w:tcPr>
          <w:p>
            <w:pPr>
              <w:spacing w:after="50" w:before="50"/>
            </w:pPr>
            <w:r/>
            <w:r>
              <w:rPr>
                <w:rFonts w:ascii="Calibri" w:hAnsi="Calibri" w:eastAsia="Calibri"/>
                <w:b w:val="0"/>
                <w:i w:val="0"/>
                <w:color w:val="1E293B"/>
                <w:sz w:val="17"/>
              </w:rPr>
              <w:t>Rédaction / Plaidoirie</w:t>
            </w:r>
          </w:p>
        </w:tc>
        <w:tc>
          <w:tcPr>
            <w:tcW w:type="dxa" w:w="1701"/>
            <w:shd w:fill="F8FAFC" w:val="clear"/>
          </w:tcPr>
          <w:p>
            <w:pPr>
              <w:spacing w:after="50" w:before="50"/>
            </w:pPr>
            <w:r/>
            <w:r>
              <w:rPr>
                <w:rFonts w:ascii="Calibri" w:hAnsi="Calibri" w:eastAsia="Calibri"/>
                <w:b w:val="0"/>
                <w:i w:val="0"/>
                <w:color w:val="1E293B"/>
                <w:sz w:val="17"/>
              </w:rPr>
              <w:t>/redaction</w:t>
            </w:r>
          </w:p>
        </w:tc>
        <w:tc>
          <w:tcPr>
            <w:tcW w:type="dxa" w:w="5386"/>
            <w:shd w:fill="F8FAFC" w:val="clear"/>
          </w:tcPr>
          <w:p>
            <w:pPr>
              <w:spacing w:after="50" w:before="50"/>
            </w:pPr>
            <w:r/>
            <w:r>
              <w:rPr>
                <w:rFonts w:ascii="Calibri" w:hAnsi="Calibri" w:eastAsia="Calibri"/>
                <w:b w:val="0"/>
                <w:i w:val="0"/>
                <w:color w:val="1E293B"/>
                <w:sz w:val="17"/>
              </w:rPr>
              <w:t>Atelier intelligent : dictée, structuration, révision IA et exports officiels.</w:t>
            </w:r>
          </w:p>
        </w:tc>
      </w:tr>
      <w:tr>
        <w:tc>
          <w:tcPr>
            <w:tcW w:type="dxa" w:w="2551"/>
          </w:tcPr>
          <w:p>
            <w:pPr>
              <w:spacing w:after="50" w:before="50"/>
            </w:pPr>
            <w:r/>
            <w:r>
              <w:rPr>
                <w:rFonts w:ascii="Calibri" w:hAnsi="Calibri" w:eastAsia="Calibri"/>
                <w:b w:val="0"/>
                <w:i w:val="0"/>
                <w:color w:val="1E293B"/>
                <w:sz w:val="17"/>
              </w:rPr>
              <w:t>Planning</w:t>
            </w:r>
          </w:p>
        </w:tc>
        <w:tc>
          <w:tcPr>
            <w:tcW w:type="dxa" w:w="1701"/>
          </w:tcPr>
          <w:p>
            <w:pPr>
              <w:spacing w:after="50" w:before="50"/>
            </w:pPr>
            <w:r/>
            <w:r>
              <w:rPr>
                <w:rFonts w:ascii="Calibri" w:hAnsi="Calibri" w:eastAsia="Calibri"/>
                <w:b w:val="0"/>
                <w:i w:val="0"/>
                <w:color w:val="1E293B"/>
                <w:sz w:val="17"/>
              </w:rPr>
              <w:t>/agenda</w:t>
            </w:r>
          </w:p>
        </w:tc>
        <w:tc>
          <w:tcPr>
            <w:tcW w:type="dxa" w:w="5386"/>
          </w:tcPr>
          <w:p>
            <w:pPr>
              <w:spacing w:after="50" w:before="50"/>
            </w:pPr>
            <w:r/>
            <w:r>
              <w:rPr>
                <w:rFonts w:ascii="Calibri" w:hAnsi="Calibri" w:eastAsia="Calibri"/>
                <w:b w:val="0"/>
                <w:i w:val="0"/>
                <w:color w:val="1E293B"/>
                <w:sz w:val="17"/>
              </w:rPr>
              <w:t>Calendrier des audiences, échéances de conclusions et rappels légaux.</w:t>
            </w:r>
          </w:p>
        </w:tc>
      </w:tr>
      <w:tr>
        <w:tc>
          <w:tcPr>
            <w:tcW w:type="dxa" w:w="2551"/>
            <w:shd w:fill="F8FAFC" w:val="clear"/>
          </w:tcPr>
          <w:p>
            <w:pPr>
              <w:spacing w:after="50" w:before="50"/>
            </w:pPr>
            <w:r/>
            <w:r>
              <w:rPr>
                <w:rFonts w:ascii="Calibri" w:hAnsi="Calibri" w:eastAsia="Calibri"/>
                <w:b w:val="0"/>
                <w:i w:val="0"/>
                <w:color w:val="1E293B"/>
                <w:sz w:val="17"/>
              </w:rPr>
              <w:t>Équipe</w:t>
            </w:r>
          </w:p>
        </w:tc>
        <w:tc>
          <w:tcPr>
            <w:tcW w:type="dxa" w:w="1701"/>
            <w:shd w:fill="F8FAFC" w:val="clear"/>
          </w:tcPr>
          <w:p>
            <w:pPr>
              <w:spacing w:after="50" w:before="50"/>
            </w:pPr>
            <w:r/>
            <w:r>
              <w:rPr>
                <w:rFonts w:ascii="Calibri" w:hAnsi="Calibri" w:eastAsia="Calibri"/>
                <w:b w:val="0"/>
                <w:i w:val="0"/>
                <w:color w:val="1E293B"/>
                <w:sz w:val="17"/>
              </w:rPr>
              <w:t>/team</w:t>
            </w:r>
          </w:p>
        </w:tc>
        <w:tc>
          <w:tcPr>
            <w:tcW w:type="dxa" w:w="5386"/>
            <w:shd w:fill="F8FAFC" w:val="clear"/>
          </w:tcPr>
          <w:p>
            <w:pPr>
              <w:spacing w:after="50" w:before="50"/>
            </w:pPr>
            <w:r/>
            <w:r>
              <w:rPr>
                <w:rFonts w:ascii="Calibri" w:hAnsi="Calibri" w:eastAsia="Calibri"/>
                <w:b w:val="0"/>
                <w:i w:val="0"/>
                <w:color w:val="1E293B"/>
                <w:sz w:val="17"/>
              </w:rPr>
              <w:t>Gestion des collaborateurs du cabinet et invitations sécurisées par e-mail.</w:t>
            </w:r>
          </w:p>
        </w:tc>
      </w:tr>
      <w:tr>
        <w:tc>
          <w:tcPr>
            <w:tcW w:type="dxa" w:w="2551"/>
          </w:tcPr>
          <w:p>
            <w:pPr>
              <w:spacing w:after="50" w:before="50"/>
            </w:pPr>
            <w:r/>
            <w:r>
              <w:rPr>
                <w:rFonts w:ascii="Calibri" w:hAnsi="Calibri" w:eastAsia="Calibri"/>
                <w:b w:val="0"/>
                <w:i w:val="0"/>
                <w:color w:val="1E293B"/>
                <w:sz w:val="17"/>
              </w:rPr>
              <w:t>Activité</w:t>
            </w:r>
          </w:p>
        </w:tc>
        <w:tc>
          <w:tcPr>
            <w:tcW w:type="dxa" w:w="1701"/>
          </w:tcPr>
          <w:p>
            <w:pPr>
              <w:spacing w:after="50" w:before="50"/>
            </w:pPr>
            <w:r/>
            <w:r>
              <w:rPr>
                <w:rFonts w:ascii="Calibri" w:hAnsi="Calibri" w:eastAsia="Calibri"/>
                <w:b w:val="0"/>
                <w:i w:val="0"/>
                <w:color w:val="1E293B"/>
                <w:sz w:val="17"/>
              </w:rPr>
              <w:t>/activity</w:t>
            </w:r>
          </w:p>
        </w:tc>
        <w:tc>
          <w:tcPr>
            <w:tcW w:type="dxa" w:w="5386"/>
          </w:tcPr>
          <w:p>
            <w:pPr>
              <w:spacing w:after="50" w:before="50"/>
            </w:pPr>
            <w:r/>
            <w:r>
              <w:rPr>
                <w:rFonts w:ascii="Calibri" w:hAnsi="Calibri" w:eastAsia="Calibri"/>
                <w:b w:val="0"/>
                <w:i w:val="0"/>
                <w:color w:val="1E293B"/>
                <w:sz w:val="17"/>
              </w:rPr>
              <w:t>Journal d'audit des actions du cabinet assurant la traçabilité déontologique.</w:t>
            </w:r>
          </w:p>
        </w:tc>
      </w:tr>
    </w:tbl>
    <w:p>
      <w:pPr>
        <w:spacing w:after="40"/>
      </w:pPr>
    </w:p>
    <w:p>
      <w:pPr>
        <w:spacing w:after="100" w:line="240" w:lineRule="auto"/>
      </w:pPr>
      <w:r>
        <w:rPr>
          <w:rFonts w:ascii="Calibri" w:hAnsi="Calibri" w:eastAsia="Calibri"/>
          <w:b/>
          <w:i w:val="0"/>
          <w:color w:val="1E293B"/>
          <w:sz w:val="20"/>
        </w:rPr>
        <w:t>2. Le Menu Compte utilisateur (Coin supérieur droit)</w:t>
      </w:r>
    </w:p>
    <w:p>
      <w:pPr>
        <w:pStyle w:val="ListBullet"/>
        <w:spacing w:after="50" w:line="240" w:lineRule="auto"/>
      </w:pPr>
      <w:r>
        <w:rPr>
          <w:rFonts w:ascii="Calibri" w:hAnsi="Calibri" w:eastAsia="Calibri"/>
          <w:b w:val="0"/>
          <w:i w:val="0"/>
          <w:color w:val="1E293B"/>
          <w:sz w:val="19"/>
        </w:rPr>
        <w:t>Profil &amp; Préférences : nom d'exercice, e-mail et langue de travail (Français / Arabe).</w:t>
      </w:r>
    </w:p>
    <w:p>
      <w:pPr>
        <w:pStyle w:val="ListBullet"/>
        <w:spacing w:after="50" w:line="240" w:lineRule="auto"/>
      </w:pPr>
      <w:r>
        <w:rPr>
          <w:rFonts w:ascii="Calibri" w:hAnsi="Calibri" w:eastAsia="Calibri"/>
          <w:b w:val="0"/>
          <w:i w:val="0"/>
          <w:color w:val="1E293B"/>
          <w:sz w:val="19"/>
        </w:rPr>
        <w:t>Paramètres (/settings) : onglets Général, Cabinet (nom, ville, logo officiel pour les en-têtes), Plan &amp; usage (quotas, crédits, packs), Sécurité (mots de passe, 2FA).</w:t>
      </w:r>
    </w:p>
    <w:p>
      <w:pPr>
        <w:pStyle w:val="ListBullet"/>
        <w:spacing w:after="50" w:line="240" w:lineRule="auto"/>
      </w:pPr>
      <w:r>
        <w:rPr>
          <w:rFonts w:ascii="Calibri" w:hAnsi="Calibri" w:eastAsia="Calibri"/>
          <w:b w:val="0"/>
          <w:i w:val="0"/>
          <w:color w:val="1E293B"/>
          <w:sz w:val="19"/>
        </w:rPr>
        <w:t>Mes factures : historique comptable des forfaits et recharges avec téléchargement direct des reçus PDF.</w:t>
      </w:r>
    </w:p>
    <w:p>
      <w:pPr>
        <w:pStyle w:val="ListBullet"/>
        <w:spacing w:after="50" w:line="240" w:lineRule="auto"/>
      </w:pPr>
      <w:r>
        <w:rPr>
          <w:rFonts w:ascii="Calibri" w:hAnsi="Calibri" w:eastAsia="Calibri"/>
          <w:b w:val="0"/>
          <w:i w:val="0"/>
          <w:color w:val="1E293B"/>
          <w:sz w:val="19"/>
        </w:rPr>
        <w:t>Déconnexion unique : positionnée exclusivement dans ce menu supérieur (aucune déconnexion redondante dans le dock).</w:t>
      </w:r>
    </w:p>
    <w:p>
      <w:pPr>
        <w:pStyle w:val="Heading2"/>
        <w:keepNext/>
      </w:pPr>
      <w:r>
        <w:rPr>
          <w:rFonts w:ascii="Calibri" w:hAnsi="Calibri"/>
          <w:b/>
          <w:color w:val="0B1A4D"/>
          <w:sz w:val="24"/>
        </w:rPr>
        <w:t>A5. Accès sécurisé à la base de données (PostgreSQL &amp; Adminer via tunnel SSH chiffré)</w:t>
      </w:r>
    </w:p>
    <w:p>
      <w:pPr>
        <w:spacing w:after="100" w:line="240" w:lineRule="auto"/>
      </w:pPr>
      <w:r>
        <w:rPr>
          <w:rFonts w:ascii="Calibri" w:hAnsi="Calibri" w:eastAsia="Calibri"/>
          <w:b w:val="0"/>
          <w:i w:val="0"/>
          <w:color w:val="1E293B"/>
          <w:sz w:val="20"/>
        </w:rPr>
        <w:t>La base de données PostgreSQL de LexHub héberge les données hautement confidentielles des cabinets d'avocats partenaires : identité des justiciables, pièces probatoires judiciaires, actes de procédure et projets de plaidoiries protégés par le secret professionnel le plus strict (article 30 de la loi n° 28-08 régissant la profession d'avocat au Maroc et conformité CNDP).</w:t>
      </w:r>
    </w:p>
    <w:p>
      <w:pPr>
        <w:spacing w:after="100" w:line="240" w:lineRule="auto"/>
      </w:pPr>
      <w:r>
        <w:rPr>
          <w:rFonts w:ascii="Calibri" w:hAnsi="Calibri" w:eastAsia="Calibri"/>
          <w:b/>
          <w:i w:val="0"/>
          <w:color w:val="0B1A4D"/>
          <w:sz w:val="20"/>
        </w:rPr>
        <w:t>1. Pourquoi Adminer et non pgAdmin ? (Distinction technique essentielle pour l'évaluation)</w:t>
      </w:r>
    </w:p>
    <w:p>
      <w:pPr>
        <w:pStyle w:val="ListBullet"/>
        <w:spacing w:after="50" w:line="240" w:lineRule="auto"/>
      </w:pPr>
      <w:r>
        <w:rPr>
          <w:rFonts w:ascii="Calibri" w:hAnsi="Calibri" w:eastAsia="Calibri"/>
          <w:b w:val="0"/>
          <w:i w:val="0"/>
          <w:color w:val="1E293B"/>
          <w:sz w:val="19"/>
        </w:rPr>
        <w:t>pgAdmin est une application client lourde : son utilisation exigerait que l'encadrant ou l'évaluateur installe un logiciel volumineux sur son poste personnel, gère des dépendances système complexes (runtimes C++/Python) ou déploie un conteneur Docker local consommateur de ressources.</w:t>
      </w:r>
    </w:p>
    <w:p>
      <w:pPr>
        <w:pStyle w:val="ListBullet"/>
        <w:spacing w:after="50" w:line="240" w:lineRule="auto"/>
      </w:pPr>
      <w:r>
        <w:rPr>
          <w:rFonts w:ascii="Calibri" w:hAnsi="Calibri" w:eastAsia="Calibri"/>
          <w:b w:val="0"/>
          <w:i w:val="0"/>
          <w:color w:val="1E293B"/>
          <w:sz w:val="19"/>
        </w:rPr>
        <w:t>Adminer est un gestionnaire web de base de données ultra-léger : il est déjà déployé et conteneurisé directement sur le serveur VPS de production (51.38.78.23). Il ne nécessite strictement AUCUNE installation logicielle, aucun téléchargement et aucun conteneur Docker sur la machine locale de l'encadrant. Il s'exécute nativement et immédiatement dans n'importe quel navigateur web moderne (Google Chrome, Microsoft Edge, Firefox).</w:t>
      </w:r>
    </w:p>
    <w:p>
      <w:pPr>
        <w:spacing w:after="100" w:line="240" w:lineRule="auto"/>
      </w:pPr>
      <w:r>
        <w:rPr>
          <w:rFonts w:ascii="Calibri" w:hAnsi="Calibri" w:eastAsia="Calibri"/>
          <w:b/>
          <w:i w:val="0"/>
          <w:color w:val="0B1A4D"/>
          <w:sz w:val="20"/>
        </w:rPr>
        <w:t>2. Pourquoi l'accès direct via le Web est coupé (Confidentialité &amp; Secret professionnel)</w:t>
      </w:r>
    </w:p>
    <w:p>
      <w:pPr>
        <w:pStyle w:val="ListBullet"/>
        <w:spacing w:after="50" w:line="240" w:lineRule="auto"/>
      </w:pPr>
      <w:r>
        <w:rPr>
          <w:rFonts w:ascii="Calibri" w:hAnsi="Calibri" w:eastAsia="Calibri"/>
          <w:b w:val="0"/>
          <w:i w:val="0"/>
          <w:color w:val="1E293B"/>
          <w:sz w:val="19"/>
        </w:rPr>
        <w:t>Exposer une interface d'administration de base de données directement sur le Web public (ex. https://lexhub.space/_ops/db/) représenterait une faille de sécurité critique face aux attaques par force brute, aux robots d'exploration et aux scanners de vulnérabilités.</w:t>
      </w:r>
    </w:p>
    <w:p>
      <w:pPr>
        <w:pStyle w:val="ListBullet"/>
        <w:spacing w:after="50" w:line="240" w:lineRule="auto"/>
      </w:pPr>
      <w:r>
        <w:rPr>
          <w:rFonts w:ascii="Calibri" w:hAnsi="Calibri" w:eastAsia="Calibri"/>
          <w:b w:val="0"/>
          <w:i w:val="0"/>
          <w:color w:val="1E293B"/>
          <w:sz w:val="19"/>
        </w:rPr>
        <w:t>L'accès public HTTPS direct a été totalement coupé et verrouillé au niveau du reverse-proxy Caddy : toute tentative d'accès externe renvoie systématiquement une erreur 404 / 308.</w:t>
      </w:r>
    </w:p>
    <w:p>
      <w:pPr>
        <w:pStyle w:val="ListBullet"/>
        <w:spacing w:after="50" w:line="240" w:lineRule="auto"/>
      </w:pPr>
      <w:r>
        <w:rPr>
          <w:rFonts w:ascii="Calibri" w:hAnsi="Calibri" w:eastAsia="Calibri"/>
          <w:b w:val="0"/>
          <w:i w:val="0"/>
          <w:color w:val="1E293B"/>
          <w:sz w:val="19"/>
        </w:rPr>
        <w:t>L'accès ne peut être déverrouillé que par un canal chiffré point-à-point (port-forwarding SSH) réservé aux personnes autorisées.</w:t>
      </w:r>
    </w:p>
    <w:p>
      <w:pPr>
        <w:spacing w:after="100" w:line="240" w:lineRule="auto"/>
      </w:pPr>
      <w:r>
        <w:rPr>
          <w:rFonts w:ascii="Calibri" w:hAnsi="Calibri" w:eastAsia="Calibri"/>
          <w:b/>
          <w:i w:val="0"/>
          <w:color w:val="0B1A4D"/>
          <w:sz w:val="20"/>
        </w:rPr>
        <w:t>3. Le rôle du script automatisé Ouvrir_Adminer.bat (Passerelle 1-clic)</w:t>
      </w:r>
    </w:p>
    <w:p>
      <w:pPr>
        <w:pStyle w:val="ListBullet"/>
        <w:spacing w:after="50" w:line="240" w:lineRule="auto"/>
      </w:pPr>
      <w:r>
        <w:rPr>
          <w:rFonts w:ascii="Calibri" w:hAnsi="Calibri" w:eastAsia="Calibri"/>
          <w:b w:val="0"/>
          <w:i w:val="0"/>
          <w:color w:val="1E293B"/>
          <w:sz w:val="19"/>
        </w:rPr>
        <w:t>Pour dispenser l'encadrant de toute manipulation technique complexe en invite de commande, un fichier autonome nommé Ouvrir_Adminer.bat est mis à disposition à la racine du projet et sur le Bureau.</w:t>
      </w:r>
    </w:p>
    <w:p>
      <w:pPr>
        <w:pStyle w:val="ListBullet"/>
        <w:spacing w:after="50" w:line="240" w:lineRule="auto"/>
      </w:pPr>
      <w:r>
        <w:rPr>
          <w:rFonts w:ascii="Calibri" w:hAnsi="Calibri" w:eastAsia="Calibri"/>
          <w:b w:val="0"/>
          <w:i w:val="0"/>
          <w:color w:val="1E293B"/>
          <w:sz w:val="19"/>
        </w:rPr>
        <w:t>Ce fichier script monte automatiquement un tunnel SSH chiffré avec redirection de port : il relie de façon transparente le port local 127.0.0.1:8088 au conteneur Adminer isolé sur le VPS.</w:t>
      </w:r>
    </w:p>
    <w:p>
      <w:pPr>
        <w:pStyle w:val="ListBullet"/>
        <w:spacing w:after="50" w:line="240" w:lineRule="auto"/>
      </w:pPr>
      <w:r>
        <w:rPr>
          <w:rFonts w:ascii="Calibri" w:hAnsi="Calibri" w:eastAsia="Calibri"/>
          <w:b w:val="0"/>
          <w:i w:val="0"/>
          <w:color w:val="1E293B"/>
          <w:sz w:val="19"/>
        </w:rPr>
        <w:t>Il exécute en arrière-plan le script Python dédié python scripts\open_adminer_tunnel.py (via la bibliothèque paramiko) ou la commande OpenSSH native Windows ssh -L 8088:localhost:8088 root@51.38.78.23. Un simple double-clic suffit.</w:t>
      </w:r>
    </w:p>
    <w:p>
      <w:pPr>
        <w:spacing w:after="100" w:line="240" w:lineRule="auto"/>
      </w:pPr>
      <w:r>
        <w:rPr>
          <w:rFonts w:ascii="Calibri" w:hAnsi="Calibri" w:eastAsia="Calibri"/>
          <w:b/>
          <w:i w:val="0"/>
          <w:color w:val="0B1A4D"/>
          <w:sz w:val="20"/>
        </w:rPr>
        <w:t>4. Les 4 étapes pas-à-pas garanties pour se connecter et auditer la base</w:t>
      </w:r>
    </w:p>
    <w:p>
      <w:pPr>
        <w:pStyle w:val="ListNumber"/>
        <w:spacing w:after="50" w:line="240" w:lineRule="auto"/>
      </w:pPr>
      <w:r>
        <w:rPr>
          <w:rFonts w:ascii="Calibri" w:hAnsi="Calibri" w:eastAsia="Calibri"/>
          <w:b w:val="0"/>
          <w:i w:val="0"/>
          <w:color w:val="1E293B"/>
          <w:sz w:val="19"/>
        </w:rPr>
        <w:t>Étape 1 — Lancer le tunnel SSH sécurisé : faire un double-clic sur le fichier Ouvrir_Adminer.bat (ou taper dans un terminal : python scripts\open_adminer_tunnel.py). Une fenêtre d'invite de commandes noire s'ouvre et affiche « Tunnel SSH actif sur http://127.0.0.1:8088 ». IMPORTANT : laisser cette fenêtre ouverte pendant toute la durée de consultation.</w:t>
      </w:r>
    </w:p>
    <w:p>
      <w:pPr>
        <w:pStyle w:val="ListNumber"/>
        <w:spacing w:after="50" w:line="240" w:lineRule="auto"/>
      </w:pPr>
      <w:r>
        <w:rPr>
          <w:rFonts w:ascii="Calibri" w:hAnsi="Calibri" w:eastAsia="Calibri"/>
          <w:b w:val="0"/>
          <w:i w:val="0"/>
          <w:color w:val="1E293B"/>
          <w:sz w:val="19"/>
        </w:rPr>
        <w:t>Étape 2 — Ouvrir votre navigateur web : lancer Google Chrome ou Microsoft Edge et naviguer sur l'adresse locale : http://127.0.0.1:8088. La page d'accueil officielle d'Adminer s'affiche instantanément.</w:t>
      </w:r>
    </w:p>
    <w:p>
      <w:pPr>
        <w:pStyle w:val="ListNumber"/>
        <w:spacing w:after="50" w:line="240" w:lineRule="auto"/>
      </w:pPr>
      <w:r>
        <w:rPr>
          <w:rFonts w:ascii="Calibri" w:hAnsi="Calibri" w:eastAsia="Calibri"/>
          <w:b w:val="0"/>
          <w:i w:val="0"/>
          <w:color w:val="1E293B"/>
          <w:sz w:val="19"/>
        </w:rPr>
        <w:t>Étape 3 — Renseigner les identifiants SQL stricts de production (disponibles dans LexHub_DB_credentials.txt) :</w:t>
      </w:r>
    </w:p>
    <w:p>
      <w:pPr>
        <w:pStyle w:val="ListBullet"/>
        <w:spacing w:after="50" w:line="240" w:lineRule="auto"/>
      </w:pPr>
      <w:r>
        <w:rPr>
          <w:rFonts w:ascii="Calibri" w:hAnsi="Calibri" w:eastAsia="Calibri"/>
          <w:b w:val="0"/>
          <w:i w:val="0"/>
          <w:color w:val="1E293B"/>
          <w:sz w:val="19"/>
        </w:rPr>
        <w:t>Système : sélectionner « PostgreSQL » dans la liste déroulante.</w:t>
      </w:r>
    </w:p>
    <w:p>
      <w:pPr>
        <w:pStyle w:val="ListBullet"/>
        <w:spacing w:after="50" w:line="240" w:lineRule="auto"/>
      </w:pPr>
      <w:r>
        <w:rPr>
          <w:rFonts w:ascii="Calibri" w:hAnsi="Calibri" w:eastAsia="Calibri"/>
          <w:b w:val="0"/>
          <w:i w:val="0"/>
          <w:color w:val="1E293B"/>
          <w:sz w:val="19"/>
        </w:rPr>
        <w:t>Serveur : saisir « postgres » (nom d'hôte interne du conteneur PostgreSQL sur le réseau Docker privé du VPS ; ne pas saisir localhost ni d'adresse IP).</w:t>
      </w:r>
    </w:p>
    <w:p>
      <w:pPr>
        <w:pStyle w:val="ListBullet"/>
        <w:spacing w:after="50" w:line="240" w:lineRule="auto"/>
      </w:pPr>
      <w:r>
        <w:rPr>
          <w:rFonts w:ascii="Calibri" w:hAnsi="Calibri" w:eastAsia="Calibri"/>
          <w:b w:val="0"/>
          <w:i w:val="0"/>
          <w:color w:val="1E293B"/>
          <w:sz w:val="19"/>
        </w:rPr>
        <w:t>Utilisateur : « lexhub »</w:t>
      </w:r>
    </w:p>
    <w:p>
      <w:pPr>
        <w:pStyle w:val="ListBullet"/>
        <w:spacing w:after="50" w:line="240" w:lineRule="auto"/>
      </w:pPr>
      <w:r>
        <w:rPr>
          <w:rFonts w:ascii="Calibri" w:hAnsi="Calibri" w:eastAsia="Calibri"/>
          <w:b w:val="0"/>
          <w:i w:val="0"/>
          <w:color w:val="1E293B"/>
          <w:sz w:val="19"/>
        </w:rPr>
        <w:t>Mot de passe : « LhPg-gGhAymhq7AnfnrlWCEdvsloQ » (clé de production rotatée et sécurisée).</w:t>
      </w:r>
    </w:p>
    <w:p>
      <w:pPr>
        <w:pStyle w:val="ListBullet"/>
        <w:spacing w:after="50" w:line="240" w:lineRule="auto"/>
      </w:pPr>
      <w:r>
        <w:rPr>
          <w:rFonts w:ascii="Calibri" w:hAnsi="Calibri" w:eastAsia="Calibri"/>
          <w:b w:val="0"/>
          <w:i w:val="0"/>
          <w:color w:val="1E293B"/>
          <w:sz w:val="19"/>
        </w:rPr>
        <w:t>Base de données : « lexhub »</w:t>
      </w:r>
    </w:p>
    <w:p>
      <w:pPr>
        <w:pStyle w:val="ListBullet"/>
        <w:spacing w:after="50" w:line="240" w:lineRule="auto"/>
      </w:pPr>
      <w:r>
        <w:rPr>
          <w:rFonts w:ascii="Calibri" w:hAnsi="Calibri" w:eastAsia="Calibri"/>
          <w:b w:val="0"/>
          <w:i w:val="0"/>
          <w:color w:val="1E293B"/>
          <w:sz w:val="19"/>
        </w:rPr>
        <w:t>Action : cliquer sur le bouton « S'identifier ».</w:t>
      </w:r>
    </w:p>
    <w:p>
      <w:pPr>
        <w:pStyle w:val="ListNumber"/>
        <w:spacing w:after="50" w:line="240" w:lineRule="auto"/>
      </w:pPr>
      <w:r>
        <w:rPr>
          <w:rFonts w:ascii="Calibri" w:hAnsi="Calibri" w:eastAsia="Calibri"/>
          <w:b w:val="0"/>
          <w:i w:val="0"/>
          <w:color w:val="1E293B"/>
          <w:sz w:val="19"/>
        </w:rPr>
        <w:t>Étape 4 — Consultation &amp; Audit des tables en direct : vous êtes connecté au schéma relationnel de production. Vous pouvez inspecter directement :</w:t>
      </w:r>
    </w:p>
    <w:p>
      <w:pPr>
        <w:pStyle w:val="ListBullet"/>
        <w:spacing w:after="50" w:line="240" w:lineRule="auto"/>
      </w:pPr>
      <w:r>
        <w:rPr>
          <w:rFonts w:ascii="Calibri" w:hAnsi="Calibri" w:eastAsia="Calibri"/>
          <w:b w:val="0"/>
          <w:i w:val="0"/>
          <w:color w:val="1E293B"/>
          <w:sz w:val="19"/>
        </w:rPr>
        <w:t>commercial_leads : les formulaires de qualification reçus pour l'offre Entreprise et les devis Sur mesure.</w:t>
      </w:r>
    </w:p>
    <w:p>
      <w:pPr>
        <w:pStyle w:val="ListBullet"/>
        <w:spacing w:after="50" w:line="240" w:lineRule="auto"/>
      </w:pPr>
      <w:r>
        <w:rPr>
          <w:rFonts w:ascii="Calibri" w:hAnsi="Calibri" w:eastAsia="Calibri"/>
          <w:b w:val="0"/>
          <w:i w:val="0"/>
          <w:color w:val="1E293B"/>
          <w:sz w:val="19"/>
        </w:rPr>
        <w:t>cabinets : la liste des cabinets inscrits, leurs forfaits, quotas et dates d'échéance d'essai.</w:t>
      </w:r>
    </w:p>
    <w:p>
      <w:pPr>
        <w:pStyle w:val="ListBullet"/>
        <w:spacing w:after="50" w:line="240" w:lineRule="auto"/>
      </w:pPr>
      <w:r>
        <w:rPr>
          <w:rFonts w:ascii="Calibri" w:hAnsi="Calibri" w:eastAsia="Calibri"/>
          <w:b w:val="0"/>
          <w:i w:val="0"/>
          <w:color w:val="1E293B"/>
          <w:sz w:val="19"/>
        </w:rPr>
        <w:t>users : les comptes utilisateurs (avocats, assistants, administrateurs) et leurs rôles RBAC.</w:t>
      </w:r>
    </w:p>
    <w:p>
      <w:pPr>
        <w:pStyle w:val="ListBullet"/>
        <w:spacing w:after="50" w:line="240" w:lineRule="auto"/>
      </w:pPr>
      <w:r>
        <w:rPr>
          <w:rFonts w:ascii="Calibri" w:hAnsi="Calibri" w:eastAsia="Calibri"/>
          <w:b w:val="0"/>
          <w:i w:val="0"/>
          <w:color w:val="1E293B"/>
          <w:sz w:val="19"/>
        </w:rPr>
        <w:t>cases : les dossiers judiciaires ouverts avec références de juridiction.</w:t>
      </w:r>
    </w:p>
    <w:p>
      <w:pPr>
        <w:pStyle w:val="ListBullet"/>
        <w:spacing w:after="50" w:line="240" w:lineRule="auto"/>
      </w:pPr>
      <w:r>
        <w:rPr>
          <w:rFonts w:ascii="Calibri" w:hAnsi="Calibri" w:eastAsia="Calibri"/>
          <w:b w:val="0"/>
          <w:i w:val="0"/>
          <w:color w:val="1E293B"/>
          <w:sz w:val="19"/>
        </w:rPr>
        <w:t>plaidoirie_drafts : les projets de conclusions avec leurs trois statuts (Brouillon, Validée, Finalisée).</w:t>
      </w:r>
    </w:p>
    <w:p>
      <w:pPr>
        <w:pStyle w:val="ListBullet"/>
        <w:spacing w:after="50" w:line="240" w:lineRule="auto"/>
      </w:pPr>
      <w:r>
        <w:rPr>
          <w:rFonts w:ascii="Calibri" w:hAnsi="Calibri" w:eastAsia="Calibri"/>
          <w:b w:val="0"/>
          <w:i w:val="0"/>
          <w:color w:val="1E293B"/>
          <w:sz w:val="19"/>
        </w:rPr>
        <w:t>ai_credit_transactions : le journal d'audit de chaque consommation de crédits d'IA.</w:t>
      </w:r>
    </w:p>
    <w:p>
      <w:pPr>
        <w:pStyle w:val="ListBullet"/>
        <w:spacing w:after="50" w:line="240" w:lineRule="auto"/>
      </w:pPr>
      <w:r>
        <w:rPr>
          <w:rFonts w:ascii="Calibri" w:hAnsi="Calibri" w:eastAsia="Calibri"/>
          <w:b w:val="0"/>
          <w:i w:val="0"/>
          <w:color w:val="1E293B"/>
          <w:sz w:val="19"/>
        </w:rPr>
        <w:t>invoices : l'historique comptable des reçus d'essai (0 MAD) et factures d'abonnement.</w:t>
      </w:r>
    </w:p>
    <w:p>
      <w:pPr>
        <w:spacing w:after="100" w:line="240" w:lineRule="auto"/>
      </w:pPr>
      <w:r>
        <w:rPr>
          <w:rFonts w:ascii="Calibri" w:hAnsi="Calibri" w:eastAsia="Calibri"/>
          <w:b w:val="0"/>
          <w:i/>
          <w:color w:val="4A5568"/>
          <w:sz w:val="19"/>
        </w:rPr>
        <w:t>Clôture de session : pour révoquer l'accès et sécuriser la passerelle, fermer simplement la fenêtre noire du tunnel. Le port 8088 local est immédiatement libéré et l'accès à la base de données redevient totalement inaccessible.</w:t>
      </w:r>
    </w:p>
    <w:p>
      <w:pPr>
        <w:pStyle w:val="Heading1"/>
        <w:keepNext/>
      </w:pPr>
      <w:r>
        <w:rPr>
          <w:rFonts w:ascii="Calibri" w:hAnsi="Calibri"/>
          <w:b/>
          <w:color w:val="0B1A4D"/>
          <w:sz w:val="30"/>
        </w:rPr>
        <w:t>PARTIE B — Parcours métier &amp; Cœur d'Intelligence Artificielle</w:t>
      </w:r>
    </w:p>
    <w:p>
      <w:pPr>
        <w:pStyle w:val="Heading2"/>
        <w:keepNext/>
      </w:pPr>
      <w:r>
        <w:rPr>
          <w:rFonts w:ascii="Calibri" w:hAnsi="Calibri"/>
          <w:b/>
          <w:color w:val="0B1A4D"/>
          <w:sz w:val="24"/>
        </w:rPr>
        <w:t>B1. Dossiers judiciaires &amp; pièces probatoires</w:t>
      </w:r>
    </w:p>
    <w:p>
      <w:pPr>
        <w:pStyle w:val="ListNumber"/>
        <w:spacing w:after="50" w:line="240" w:lineRule="auto"/>
      </w:pPr>
      <w:r>
        <w:rPr>
          <w:rFonts w:ascii="Calibri" w:hAnsi="Calibri" w:eastAsia="Calibri"/>
          <w:b w:val="0"/>
          <w:i w:val="0"/>
          <w:color w:val="1E293B"/>
          <w:sz w:val="19"/>
        </w:rPr>
        <w:t>Création d'un dossier (/cases) : saisir la référence interne, l'identité du client, la partie adverse, la juridiction compétente (Tribunal de Première Instance, Cour d'Appel, etc.), la ville et la matière juridique.</w:t>
      </w:r>
    </w:p>
    <w:p>
      <w:pPr>
        <w:pStyle w:val="ListNumber"/>
        <w:spacing w:after="50" w:line="240" w:lineRule="auto"/>
      </w:pPr>
      <w:r>
        <w:rPr>
          <w:rFonts w:ascii="Calibri" w:hAnsi="Calibri" w:eastAsia="Calibri"/>
          <w:b w:val="0"/>
          <w:i w:val="0"/>
          <w:color w:val="1E293B"/>
          <w:sz w:val="19"/>
        </w:rPr>
        <w:t>Dépôt des pièces (PDF, Word, images numérisées) : glisser-déposer les documents directement sur la zone de téléversement.</w:t>
      </w:r>
    </w:p>
    <w:p>
      <w:pPr>
        <w:pStyle w:val="ListNumber"/>
        <w:spacing w:after="50" w:line="240" w:lineRule="auto"/>
      </w:pPr>
      <w:r>
        <w:rPr>
          <w:rFonts w:ascii="Calibri" w:hAnsi="Calibri" w:eastAsia="Calibri"/>
          <w:b w:val="0"/>
          <w:i w:val="0"/>
          <w:color w:val="1E293B"/>
          <w:sz w:val="19"/>
        </w:rPr>
        <w:t>Indexation et OCR automatique : le pipeline d'extraction analyse la structure textuelle, calcule le score de lisibilité et extrait les passages clés.</w:t>
      </w:r>
    </w:p>
    <w:p>
      <w:pPr>
        <w:pStyle w:val="ListNumber"/>
        <w:spacing w:after="50" w:line="240" w:lineRule="auto"/>
      </w:pPr>
      <w:r>
        <w:rPr>
          <w:rFonts w:ascii="Calibri" w:hAnsi="Calibri" w:eastAsia="Calibri"/>
          <w:b w:val="0"/>
          <w:i w:val="0"/>
          <w:color w:val="1E293B"/>
          <w:sz w:val="19"/>
        </w:rPr>
        <w:t>Bordereau de pièces : pour chaque document, qualifier précisément :</w:t>
      </w:r>
    </w:p>
    <w:p>
      <w:pPr>
        <w:pStyle w:val="ListBullet"/>
        <w:spacing w:after="50" w:line="240" w:lineRule="auto"/>
      </w:pPr>
      <w:r>
        <w:rPr>
          <w:rFonts w:ascii="Calibri" w:hAnsi="Calibri" w:eastAsia="Calibri"/>
          <w:b w:val="0"/>
          <w:i w:val="0"/>
          <w:color w:val="1E293B"/>
          <w:sz w:val="19"/>
        </w:rPr>
        <w:t>N° de pièce : ordre d'apparition dans le bordereau officiel remis au tribunal (1, 2, 3...).</w:t>
      </w:r>
    </w:p>
    <w:p>
      <w:pPr>
        <w:pStyle w:val="ListBullet"/>
        <w:spacing w:after="50" w:line="240" w:lineRule="auto"/>
      </w:pPr>
      <w:r>
        <w:rPr>
          <w:rFonts w:ascii="Calibri" w:hAnsi="Calibri" w:eastAsia="Calibri"/>
          <w:b w:val="0"/>
          <w:i w:val="0"/>
          <w:color w:val="1E293B"/>
          <w:sz w:val="19"/>
        </w:rPr>
        <w:t>Type de pièce : contrat, acte d'état civil, PV de constat d'huissier, facture, correspondance, mise en demeure...</w:t>
      </w:r>
    </w:p>
    <w:p>
      <w:pPr>
        <w:pStyle w:val="ListBullet"/>
        <w:spacing w:after="50" w:line="240" w:lineRule="auto"/>
      </w:pPr>
      <w:r>
        <w:rPr>
          <w:rFonts w:ascii="Calibri" w:hAnsi="Calibri" w:eastAsia="Calibri"/>
          <w:b w:val="0"/>
          <w:i w:val="0"/>
          <w:color w:val="1E293B"/>
          <w:sz w:val="19"/>
        </w:rPr>
        <w:t>Producteur : partie demanderesse, partie défenderesse, expert judiciaire ou tribunal.</w:t>
      </w:r>
    </w:p>
    <w:p>
      <w:pPr>
        <w:pStyle w:val="ListBullet"/>
        <w:spacing w:after="50" w:line="240" w:lineRule="auto"/>
      </w:pPr>
      <w:r>
        <w:rPr>
          <w:rFonts w:ascii="Calibri" w:hAnsi="Calibri" w:eastAsia="Calibri"/>
          <w:b w:val="0"/>
          <w:i w:val="0"/>
          <w:color w:val="1E293B"/>
          <w:sz w:val="19"/>
        </w:rPr>
        <w:t>Version : original, copie certifiée conforme ou traduction assermentée.</w:t>
      </w:r>
    </w:p>
    <w:p>
      <w:pPr>
        <w:pStyle w:val="ListBullet"/>
        <w:spacing w:after="50" w:line="240" w:lineRule="auto"/>
      </w:pPr>
      <w:r>
        <w:rPr>
          <w:rFonts w:ascii="Calibri" w:hAnsi="Calibri" w:eastAsia="Calibri"/>
          <w:b w:val="0"/>
          <w:i w:val="0"/>
          <w:color w:val="1E293B"/>
          <w:sz w:val="19"/>
        </w:rPr>
        <w:t>Référence de citation : libellé exact à insérer dans la plaidoirie (ex. « Pièce n° 2 : Acte de mariage du 15/06/2020 »).</w:t>
      </w:r>
    </w:p>
    <w:p>
      <w:pPr>
        <w:pStyle w:val="Heading2"/>
        <w:keepNext/>
      </w:pPr>
      <w:r>
        <w:rPr>
          <w:rFonts w:ascii="Calibri" w:hAnsi="Calibri"/>
          <w:b/>
          <w:color w:val="0B1A4D"/>
          <w:sz w:val="24"/>
        </w:rPr>
        <w:t>B2. Atelier de rédaction de plaidoirie (5 étapes &amp; 3 statuts)</w:t>
      </w:r>
    </w:p>
    <w:p>
      <w:pPr>
        <w:spacing w:after="100" w:line="240" w:lineRule="auto"/>
      </w:pPr>
      <w:r>
        <w:rPr>
          <w:rFonts w:ascii="Calibri" w:hAnsi="Calibri" w:eastAsia="Calibri"/>
          <w:b w:val="0"/>
          <w:i w:val="0"/>
          <w:color w:val="1E293B"/>
          <w:sz w:val="20"/>
        </w:rPr>
        <w:t>L'atelier de rédaction (/redaction) est le cœur de valeur de LexHub. Il transforme la voix et les notes de l'avocat en un document de conclusions judiciaires prêt pour l'audience, structuré selon les standards du droit marocain.</w:t>
      </w:r>
    </w:p>
    <w:p>
      <w:pPr>
        <w:spacing w:after="100" w:line="240" w:lineRule="auto"/>
      </w:pPr>
      <w:r>
        <w:rPr>
          <w:rFonts w:ascii="Calibri" w:hAnsi="Calibri" w:eastAsia="Calibri"/>
          <w:b/>
          <w:i w:val="0"/>
          <w:color w:val="1E293B"/>
          <w:sz w:val="20"/>
        </w:rPr>
        <w:t>Le cycle en 5 étapes clés :</w:t>
      </w:r>
    </w:p>
    <w:p>
      <w:pPr>
        <w:pStyle w:val="Heading3"/>
        <w:keepNext/>
      </w:pPr>
      <w:r>
        <w:rPr>
          <w:rFonts w:ascii="Calibri" w:hAnsi="Calibri"/>
          <w:b/>
          <w:color w:val="C9A84A"/>
          <w:sz w:val="22"/>
        </w:rPr>
        <w:t>Étape 1 — Choix de la matière et du modèle juridique</w:t>
      </w:r>
    </w:p>
    <w:p>
      <w:pPr>
        <w:pStyle w:val="ListNumber"/>
        <w:spacing w:after="50" w:line="240" w:lineRule="auto"/>
      </w:pPr>
      <w:r>
        <w:rPr>
          <w:rFonts w:ascii="Calibri" w:hAnsi="Calibri" w:eastAsia="Calibri"/>
          <w:b w:val="0"/>
          <w:i w:val="0"/>
          <w:color w:val="1E293B"/>
          <w:sz w:val="19"/>
        </w:rPr>
        <w:t>Sélectionner le domaine du litige : Statut personnel / Famille (Moudawana), Droit civil, Commercial, Social / Travail, Pénal, etc.</w:t>
      </w:r>
    </w:p>
    <w:p>
      <w:pPr>
        <w:pStyle w:val="ListNumber"/>
        <w:spacing w:after="50" w:line="240" w:lineRule="auto"/>
      </w:pPr>
      <w:r>
        <w:rPr>
          <w:rFonts w:ascii="Calibri" w:hAnsi="Calibri" w:eastAsia="Calibri"/>
          <w:b w:val="0"/>
          <w:i w:val="0"/>
          <w:color w:val="1E293B"/>
          <w:sz w:val="19"/>
        </w:rPr>
        <w:t>Le choix du domaine injecte automatiquement le cadre légal adapté (visas textuels, formulation des prétentions et structure requise par la juridiction).</w:t>
      </w:r>
    </w:p>
    <w:p>
      <w:pPr>
        <w:pStyle w:val="Heading3"/>
        <w:keepNext/>
      </w:pPr>
      <w:r>
        <w:rPr>
          <w:rFonts w:ascii="Calibri" w:hAnsi="Calibri"/>
          <w:b/>
          <w:color w:val="C9A84A"/>
          <w:sz w:val="22"/>
        </w:rPr>
        <w:t>Étape 2 — Dictée vocale directe du navigateur (Web Speech API)</w:t>
      </w:r>
    </w:p>
    <w:p>
      <w:pPr>
        <w:pStyle w:val="ListNumber"/>
        <w:spacing w:after="50" w:line="240" w:lineRule="auto"/>
      </w:pPr>
      <w:r>
        <w:rPr>
          <w:rFonts w:ascii="Calibri" w:hAnsi="Calibri" w:eastAsia="Calibri"/>
          <w:b w:val="0"/>
          <w:i w:val="0"/>
          <w:color w:val="1E293B"/>
          <w:sz w:val="19"/>
        </w:rPr>
        <w:t>Activer le microphone : dictée naturelle en arabe fusha, en arabe juridique ou en français.</w:t>
      </w:r>
    </w:p>
    <w:p>
      <w:pPr>
        <w:pStyle w:val="ListNumber"/>
        <w:spacing w:after="50" w:line="240" w:lineRule="auto"/>
      </w:pPr>
      <w:r>
        <w:rPr>
          <w:rFonts w:ascii="Calibri" w:hAnsi="Calibri" w:eastAsia="Calibri"/>
          <w:b w:val="0"/>
          <w:i w:val="0"/>
          <w:color w:val="1E293B"/>
          <w:sz w:val="19"/>
        </w:rPr>
        <w:t>Moteur vocal direct : Reconnaissance vocale native intégrée au navigateur (Web Speech API / SpeechRecognition) — capture audio instantanée sans aucune latence de téléversement, parfaitement calibrée pour le vocabulaire procédural marocain, sans dépendance ni surcoût d'API externe.</w:t>
      </w:r>
    </w:p>
    <w:p>
      <w:pPr>
        <w:pStyle w:val="ListNumber"/>
        <w:spacing w:after="50" w:line="240" w:lineRule="auto"/>
      </w:pPr>
      <w:r>
        <w:rPr>
          <w:rFonts w:ascii="Calibri" w:hAnsi="Calibri" w:eastAsia="Calibri"/>
          <w:b w:val="0"/>
          <w:i w:val="0"/>
          <w:color w:val="1E293B"/>
          <w:sz w:val="19"/>
        </w:rPr>
        <w:t>Lissage automatique : ponctuation, correction syntaxique et mise en forme sans jamais altérer les faits dictés.</w:t>
      </w:r>
    </w:p>
    <w:p>
      <w:pPr>
        <w:pStyle w:val="Heading3"/>
        <w:keepNext/>
      </w:pPr>
      <w:r>
        <w:rPr>
          <w:rFonts w:ascii="Calibri" w:hAnsi="Calibri"/>
          <w:b/>
          <w:color w:val="C9A84A"/>
          <w:sz w:val="22"/>
        </w:rPr>
        <w:t>Étape 3 — Liaison au dossier judiciaire &amp; intégration des pièces</w:t>
      </w:r>
    </w:p>
    <w:p>
      <w:pPr>
        <w:pStyle w:val="ListNumber"/>
        <w:spacing w:after="50" w:line="240" w:lineRule="auto"/>
      </w:pPr>
      <w:r>
        <w:rPr>
          <w:rFonts w:ascii="Calibri" w:hAnsi="Calibri" w:eastAsia="Calibri"/>
          <w:b w:val="0"/>
          <w:i w:val="0"/>
          <w:color w:val="1E293B"/>
          <w:sz w:val="19"/>
        </w:rPr>
        <w:t>Lier la plaidoirie au dossier judiciaire correspondant.</w:t>
      </w:r>
    </w:p>
    <w:p>
      <w:pPr>
        <w:pStyle w:val="ListNumber"/>
        <w:spacing w:after="50" w:line="240" w:lineRule="auto"/>
      </w:pPr>
      <w:r>
        <w:rPr>
          <w:rFonts w:ascii="Calibri" w:hAnsi="Calibri" w:eastAsia="Calibri"/>
          <w:b w:val="0"/>
          <w:i w:val="0"/>
          <w:color w:val="1E293B"/>
          <w:sz w:val="19"/>
        </w:rPr>
        <w:t>Le système associe automatiquement les pièces du bordereau pour appuyer les moyens de droit soulevés.</w:t>
      </w:r>
    </w:p>
    <w:p>
      <w:pPr>
        <w:pStyle w:val="Heading3"/>
        <w:keepNext/>
      </w:pPr>
      <w:r>
        <w:rPr>
          <w:rFonts w:ascii="Calibri" w:hAnsi="Calibri"/>
          <w:b/>
          <w:color w:val="C9A84A"/>
          <w:sz w:val="22"/>
        </w:rPr>
        <w:t>Étape 4 — Révision assistée par l'Assistant IA</w:t>
      </w:r>
    </w:p>
    <w:p>
      <w:pPr>
        <w:pStyle w:val="ListNumber"/>
        <w:spacing w:after="50" w:line="240" w:lineRule="auto"/>
      </w:pPr>
      <w:r>
        <w:rPr>
          <w:rFonts w:ascii="Calibri" w:hAnsi="Calibri" w:eastAsia="Calibri"/>
          <w:b w:val="0"/>
          <w:i w:val="0"/>
          <w:color w:val="1E293B"/>
          <w:sz w:val="19"/>
        </w:rPr>
        <w:t>L'avocat conserve l'entière maîtrise du texte rédigé.</w:t>
      </w:r>
    </w:p>
    <w:p>
      <w:pPr>
        <w:pStyle w:val="ListNumber"/>
        <w:spacing w:after="50" w:line="240" w:lineRule="auto"/>
      </w:pPr>
      <w:r>
        <w:rPr>
          <w:rFonts w:ascii="Calibri" w:hAnsi="Calibri" w:eastAsia="Calibri"/>
          <w:b w:val="0"/>
          <w:i w:val="0"/>
          <w:color w:val="1E293B"/>
          <w:sz w:val="19"/>
        </w:rPr>
        <w:t>L'Assistant IA interactif permet de reformuler un paragraphe, de développer un moyen juridique précis ou de combler une section manquante (ex. demandes accessoires, dépens, exécution provisoire).</w:t>
      </w:r>
    </w:p>
    <w:p>
      <w:pPr>
        <w:pStyle w:val="ListNumber"/>
        <w:spacing w:after="50" w:line="240" w:lineRule="auto"/>
      </w:pPr>
      <w:r>
        <w:rPr>
          <w:rFonts w:ascii="Calibri" w:hAnsi="Calibri" w:eastAsia="Calibri"/>
          <w:b w:val="0"/>
          <w:i w:val="0"/>
          <w:color w:val="1E293B"/>
          <w:sz w:val="19"/>
        </w:rPr>
        <w:t>Le modèle linguistique GPT-4o applique un masquage strict des données à caractère personnel (PII masking) avant tout traitement.</w:t>
      </w:r>
    </w:p>
    <w:p>
      <w:pPr>
        <w:pStyle w:val="Heading3"/>
        <w:keepNext/>
      </w:pPr>
      <w:r>
        <w:rPr>
          <w:rFonts w:ascii="Calibri" w:hAnsi="Calibri"/>
          <w:b/>
          <w:color w:val="C9A84A"/>
          <w:sz w:val="22"/>
        </w:rPr>
        <w:t>Étape 5 — Export officiel finalisé Microsoft Word (.docx)</w:t>
      </w:r>
    </w:p>
    <w:p>
      <w:pPr>
        <w:pStyle w:val="ListNumber"/>
        <w:spacing w:after="50" w:line="240" w:lineRule="auto"/>
      </w:pPr>
      <w:r>
        <w:rPr>
          <w:rFonts w:ascii="Calibri" w:hAnsi="Calibri" w:eastAsia="Calibri"/>
          <w:b w:val="0"/>
          <w:i w:val="0"/>
          <w:color w:val="1E293B"/>
          <w:sz w:val="19"/>
        </w:rPr>
        <w:t>Génération instantanée du document Word (.docx) officiel, standard incontournable de la profession d'avocat au Maroc.</w:t>
      </w:r>
    </w:p>
    <w:p>
      <w:pPr>
        <w:pStyle w:val="ListNumber"/>
        <w:spacing w:after="50" w:line="240" w:lineRule="auto"/>
      </w:pPr>
      <w:r>
        <w:rPr>
          <w:rFonts w:ascii="Calibri" w:hAnsi="Calibri" w:eastAsia="Calibri"/>
          <w:b w:val="0"/>
          <w:i w:val="0"/>
          <w:color w:val="1E293B"/>
          <w:sz w:val="19"/>
        </w:rPr>
        <w:t>Le document Word est 100 % éditable pour permettre à l'avocat d'apporter ses annotations finales ou d'ajuster ses conclusions avant dépôt au greffe.</w:t>
      </w:r>
    </w:p>
    <w:p>
      <w:pPr>
        <w:pStyle w:val="ListNumber"/>
        <w:spacing w:after="50" w:line="240" w:lineRule="auto"/>
      </w:pPr>
      <w:r>
        <w:rPr>
          <w:rFonts w:ascii="Calibri" w:hAnsi="Calibri" w:eastAsia="Calibri"/>
          <w:b w:val="0"/>
          <w:i w:val="0"/>
          <w:color w:val="1E293B"/>
          <w:sz w:val="19"/>
        </w:rPr>
        <w:t>À l'export, les bandeaux d'avertissement de rédaction sont automatiquement masqués pour garantir une mise en page d'audience irréprochable.</w:t>
      </w:r>
    </w:p>
    <w:p>
      <w:pPr>
        <w:spacing w:after="100" w:line="240" w:lineRule="auto"/>
      </w:pPr>
      <w:r>
        <w:rPr>
          <w:rFonts w:ascii="Calibri" w:hAnsi="Calibri" w:eastAsia="Calibri"/>
          <w:b/>
          <w:i w:val="0"/>
          <w:color w:val="1E293B"/>
          <w:sz w:val="20"/>
        </w:rPr>
        <w:t>Les trois statuts réglementaires d'une plaidoirie :</w:t>
      </w:r>
    </w:p>
    <w:tbl>
      <w:tblPr>
        <w:tblStyle w:val="TableGrid"/>
        <w:tblW w:type="auto" w:w="0"/>
        <w:tblLayout w:type="fixed"/>
        <w:tblLook w:firstColumn="1" w:firstRow="1" w:lastColumn="0" w:lastRow="0" w:noHBand="0" w:noVBand="1" w:val="04A0"/>
      </w:tblPr>
      <w:tblGrid>
        <w:gridCol w:w="3400"/>
        <w:gridCol w:w="3400"/>
        <w:gridCol w:w="3400"/>
      </w:tblGrid>
      <w:tr>
        <w:tc>
          <w:tcPr>
            <w:tcW w:type="dxa" w:w="1701"/>
            <w:shd w:fill="0B1A4D" w:val="clear"/>
          </w:tcPr>
          <w:p>
            <w:pPr>
              <w:spacing w:after="60" w:before="60"/>
            </w:pPr>
            <w:r/>
            <w:r>
              <w:rPr>
                <w:rFonts w:ascii="Calibri" w:hAnsi="Calibri" w:eastAsia="Calibri"/>
                <w:b/>
                <w:i w:val="0"/>
                <w:color w:val="FFFFFF"/>
                <w:sz w:val="17"/>
              </w:rPr>
              <w:t>Statut</w:t>
            </w:r>
          </w:p>
        </w:tc>
        <w:tc>
          <w:tcPr>
            <w:tcW w:type="dxa" w:w="2835"/>
            <w:shd w:fill="0B1A4D" w:val="clear"/>
          </w:tcPr>
          <w:p>
            <w:pPr>
              <w:spacing w:after="60" w:before="60"/>
            </w:pPr>
            <w:r/>
            <w:r>
              <w:rPr>
                <w:rFonts w:ascii="Calibri" w:hAnsi="Calibri" w:eastAsia="Calibri"/>
                <w:b/>
                <w:i w:val="0"/>
                <w:color w:val="FFFFFF"/>
                <w:sz w:val="17"/>
              </w:rPr>
              <w:t>Visibilité &amp; Droits</w:t>
            </w:r>
          </w:p>
        </w:tc>
        <w:tc>
          <w:tcPr>
            <w:tcW w:type="dxa" w:w="5102"/>
            <w:shd w:fill="0B1A4D" w:val="clear"/>
          </w:tcPr>
          <w:p>
            <w:pPr>
              <w:spacing w:after="60" w:before="60"/>
            </w:pPr>
            <w:r/>
            <w:r>
              <w:rPr>
                <w:rFonts w:ascii="Calibri" w:hAnsi="Calibri" w:eastAsia="Calibri"/>
                <w:b/>
                <w:i w:val="0"/>
                <w:color w:val="FFFFFF"/>
                <w:sz w:val="17"/>
              </w:rPr>
              <w:t>Signification dans le flux de travail du cabinet</w:t>
            </w:r>
          </w:p>
        </w:tc>
      </w:tr>
      <w:tr>
        <w:tc>
          <w:tcPr>
            <w:tcW w:type="dxa" w:w="1701"/>
          </w:tcPr>
          <w:p>
            <w:pPr>
              <w:spacing w:after="50" w:before="50"/>
            </w:pPr>
            <w:r/>
            <w:r>
              <w:rPr>
                <w:rFonts w:ascii="Calibri" w:hAnsi="Calibri" w:eastAsia="Calibri"/>
                <w:b w:val="0"/>
                <w:i w:val="0"/>
                <w:color w:val="1E293B"/>
                <w:sz w:val="17"/>
              </w:rPr>
              <w:t>Brouillon</w:t>
            </w:r>
          </w:p>
        </w:tc>
        <w:tc>
          <w:tcPr>
            <w:tcW w:type="dxa" w:w="2835"/>
          </w:tcPr>
          <w:p>
            <w:pPr>
              <w:spacing w:after="50" w:before="50"/>
            </w:pPr>
            <w:r/>
            <w:r>
              <w:rPr>
                <w:rFonts w:ascii="Calibri" w:hAnsi="Calibri" w:eastAsia="Calibri"/>
                <w:b w:val="0"/>
                <w:i w:val="0"/>
                <w:color w:val="1E293B"/>
                <w:sz w:val="17"/>
              </w:rPr>
              <w:t>Avocat rédacteur uniquement</w:t>
            </w:r>
          </w:p>
        </w:tc>
        <w:tc>
          <w:tcPr>
            <w:tcW w:type="dxa" w:w="5102"/>
          </w:tcPr>
          <w:p>
            <w:pPr>
              <w:spacing w:after="50" w:before="50"/>
            </w:pPr>
            <w:r/>
            <w:r>
              <w:rPr>
                <w:rFonts w:ascii="Calibri" w:hAnsi="Calibri" w:eastAsia="Calibri"/>
                <w:b w:val="0"/>
                <w:i w:val="0"/>
                <w:color w:val="1E293B"/>
                <w:sz w:val="17"/>
              </w:rPr>
              <w:t>Travail préparatoire en cours d'élaboration. Non visible par les assistants.</w:t>
            </w:r>
          </w:p>
        </w:tc>
      </w:tr>
      <w:tr>
        <w:tc>
          <w:tcPr>
            <w:tcW w:type="dxa" w:w="1701"/>
            <w:shd w:fill="F8FAFC" w:val="clear"/>
          </w:tcPr>
          <w:p>
            <w:pPr>
              <w:spacing w:after="50" w:before="50"/>
            </w:pPr>
            <w:r/>
            <w:r>
              <w:rPr>
                <w:rFonts w:ascii="Calibri" w:hAnsi="Calibri" w:eastAsia="Calibri"/>
                <w:b w:val="0"/>
                <w:i w:val="0"/>
                <w:color w:val="1E293B"/>
                <w:sz w:val="17"/>
              </w:rPr>
              <w:t>Validée</w:t>
            </w:r>
          </w:p>
        </w:tc>
        <w:tc>
          <w:tcPr>
            <w:tcW w:type="dxa" w:w="2835"/>
            <w:shd w:fill="F8FAFC" w:val="clear"/>
          </w:tcPr>
          <w:p>
            <w:pPr>
              <w:spacing w:after="50" w:before="50"/>
            </w:pPr>
            <w:r/>
            <w:r>
              <w:rPr>
                <w:rFonts w:ascii="Calibri" w:hAnsi="Calibri" w:eastAsia="Calibri"/>
                <w:b w:val="0"/>
                <w:i w:val="0"/>
                <w:color w:val="1E293B"/>
                <w:sz w:val="17"/>
              </w:rPr>
              <w:t>Cabinet entier (avocats &amp; assistants)</w:t>
            </w:r>
          </w:p>
        </w:tc>
        <w:tc>
          <w:tcPr>
            <w:tcW w:type="dxa" w:w="5102"/>
            <w:shd w:fill="F8FAFC" w:val="clear"/>
          </w:tcPr>
          <w:p>
            <w:pPr>
              <w:spacing w:after="50" w:before="50"/>
            </w:pPr>
            <w:r/>
            <w:r>
              <w:rPr>
                <w:rFonts w:ascii="Calibri" w:hAnsi="Calibri" w:eastAsia="Calibri"/>
                <w:b w:val="0"/>
                <w:i w:val="0"/>
                <w:color w:val="1E293B"/>
                <w:sz w:val="17"/>
              </w:rPr>
              <w:t>Plaidoirie validée sur le fond par l'avocat, mise à disposition des assistants pour formalités ou dépôt.</w:t>
            </w:r>
          </w:p>
        </w:tc>
      </w:tr>
      <w:tr>
        <w:tc>
          <w:tcPr>
            <w:tcW w:type="dxa" w:w="1701"/>
          </w:tcPr>
          <w:p>
            <w:pPr>
              <w:spacing w:after="50" w:before="50"/>
            </w:pPr>
            <w:r/>
            <w:r>
              <w:rPr>
                <w:rFonts w:ascii="Calibri" w:hAnsi="Calibri" w:eastAsia="Calibri"/>
                <w:b w:val="0"/>
                <w:i w:val="0"/>
                <w:color w:val="1E293B"/>
                <w:sz w:val="17"/>
              </w:rPr>
              <w:t>Finalisée</w:t>
            </w:r>
          </w:p>
        </w:tc>
        <w:tc>
          <w:tcPr>
            <w:tcW w:type="dxa" w:w="2835"/>
          </w:tcPr>
          <w:p>
            <w:pPr>
              <w:spacing w:after="50" w:before="50"/>
            </w:pPr>
            <w:r/>
            <w:r>
              <w:rPr>
                <w:rFonts w:ascii="Calibri" w:hAnsi="Calibri" w:eastAsia="Calibri"/>
                <w:b w:val="0"/>
                <w:i w:val="0"/>
                <w:color w:val="1E293B"/>
                <w:sz w:val="17"/>
              </w:rPr>
              <w:t>Historique officiel du dossier</w:t>
            </w:r>
          </w:p>
        </w:tc>
        <w:tc>
          <w:tcPr>
            <w:tcW w:type="dxa" w:w="5102"/>
          </w:tcPr>
          <w:p>
            <w:pPr>
              <w:spacing w:after="50" w:before="50"/>
            </w:pPr>
            <w:r/>
            <w:r>
              <w:rPr>
                <w:rFonts w:ascii="Calibri" w:hAnsi="Calibri" w:eastAsia="Calibri"/>
                <w:b w:val="0"/>
                <w:i w:val="0"/>
                <w:color w:val="1E293B"/>
                <w:sz w:val="17"/>
              </w:rPr>
              <w:t>Exportation Word (.docx) effectuée. La plaidoirie est classée au rang des actes définitifs du cabinet.</w:t>
            </w:r>
          </w:p>
        </w:tc>
      </w:tr>
    </w:tbl>
    <w:p>
      <w:pPr>
        <w:spacing w:after="40"/>
      </w:pPr>
    </w:p>
    <w:p>
      <w:pPr>
        <w:pStyle w:val="Heading2"/>
        <w:keepNext/>
      </w:pPr>
      <w:r>
        <w:rPr>
          <w:rFonts w:ascii="Calibri" w:hAnsi="Calibri"/>
          <w:b/>
          <w:color w:val="0B1A4D"/>
          <w:sz w:val="24"/>
        </w:rPr>
        <w:t>B3. Export officiel Microsoft Word (.docx) (Standard de la profession)</w:t>
      </w:r>
    </w:p>
    <w:p>
      <w:pPr>
        <w:spacing w:after="100" w:line="240" w:lineRule="auto"/>
      </w:pPr>
      <w:r>
        <w:rPr>
          <w:rFonts w:ascii="Calibri" w:hAnsi="Calibri" w:eastAsia="Calibri"/>
          <w:b w:val="0"/>
          <w:i w:val="0"/>
          <w:color w:val="1E293B"/>
          <w:sz w:val="20"/>
        </w:rPr>
        <w:t>L'export des conclusions judiciaires a été délibérément et exclusivement unifié sur le format Microsoft Word (.docx). En pratique judiciaire marocaine devant les tribunaux et cours d'appel, l'avocat ne dépose jamais un document figé : il doit pouvoir relire ses écritures, y apposer des annotations d'audience manuscrites ou tapées, insérer une cote de pièce de dernière minute ou adapter la mise en page avant signature et impression sur papier à en-tête. Le format Word (.docx) est le standard absolu de travail dans tous les barreaux du Royaume :</w:t>
      </w:r>
    </w:p>
    <w:p>
      <w:pPr>
        <w:pStyle w:val="ListBullet"/>
        <w:spacing w:after="50" w:line="240" w:lineRule="auto"/>
      </w:pPr>
      <w:r>
        <w:rPr>
          <w:rFonts w:ascii="Calibri" w:hAnsi="Calibri" w:eastAsia="Calibri"/>
          <w:b w:val="0"/>
          <w:i w:val="0"/>
          <w:color w:val="1E293B"/>
          <w:sz w:val="19"/>
        </w:rPr>
        <w:t>Armoiries officielles du Royaume du Maroc centrées au sommet de la première page (avec repli élégant si aucun logo n'a été téléversé dans les paramètres du cabinet), garantissant la solennité de l'acte.</w:t>
      </w:r>
    </w:p>
    <w:p>
      <w:pPr>
        <w:pStyle w:val="ListBullet"/>
        <w:spacing w:after="50" w:line="240" w:lineRule="auto"/>
      </w:pPr>
      <w:r>
        <w:rPr>
          <w:rFonts w:ascii="Calibri" w:hAnsi="Calibri" w:eastAsia="Calibri"/>
          <w:b w:val="0"/>
          <w:i w:val="0"/>
          <w:color w:val="1E293B"/>
          <w:sz w:val="19"/>
        </w:rPr>
        <w:t>En-tête officiel bilingue conforme aux usages des barreaux marocains : coordonnées du cabinet en français à gauche, mentions arabes solennelles à droite.</w:t>
      </w:r>
    </w:p>
    <w:p>
      <w:pPr>
        <w:pStyle w:val="ListBullet"/>
        <w:spacing w:after="50" w:line="240" w:lineRule="auto"/>
      </w:pPr>
      <w:r>
        <w:rPr>
          <w:rFonts w:ascii="Calibri" w:hAnsi="Calibri" w:eastAsia="Calibri"/>
          <w:b w:val="0"/>
          <w:i w:val="0"/>
          <w:color w:val="1E293B"/>
          <w:sz w:val="19"/>
        </w:rPr>
        <w:t>Typographie arabe d'excellence : utilisation de la police vectorielle Noto Naskh Arabic avec gestion native et rigoureuse du sens d'écriture de droite à gauche (RTL), sans inversion de parenthèses ni de ponctuation.</w:t>
      </w:r>
    </w:p>
    <w:p>
      <w:pPr>
        <w:pStyle w:val="ListBullet"/>
        <w:spacing w:after="50" w:line="240" w:lineRule="auto"/>
      </w:pPr>
      <w:r>
        <w:rPr>
          <w:rFonts w:ascii="Calibri" w:hAnsi="Calibri" w:eastAsia="Calibri"/>
          <w:b w:val="0"/>
          <w:i w:val="0"/>
          <w:color w:val="1E293B"/>
          <w:sz w:val="19"/>
        </w:rPr>
        <w:t>Structure canonique des conclusions respectée : En-tête solennel (المملكة المغربية), Juridiction saisie, Identification des parties (demandeur / défendeur), Exposé des faits (الوقائع), Discussion en droit (المناقشة القانونية) et Dispositif clair (لهذه الأسباب).</w:t>
      </w:r>
    </w:p>
    <w:p>
      <w:pPr>
        <w:pStyle w:val="ListBullet"/>
        <w:spacing w:after="50" w:line="240" w:lineRule="auto"/>
      </w:pPr>
      <w:r>
        <w:rPr>
          <w:rFonts w:ascii="Calibri" w:hAnsi="Calibri" w:eastAsia="Calibri"/>
          <w:b w:val="0"/>
          <w:i w:val="0"/>
          <w:color w:val="1E293B"/>
          <w:sz w:val="19"/>
        </w:rPr>
        <w:t>Suppression totale des artefacts visuels : aucune substitution parasite, listes à puces arabes fluides et espacement d'interligne 1.15 conforme aux exigences du greffe.</w:t>
      </w:r>
    </w:p>
    <w:p>
      <w:pPr>
        <w:pStyle w:val="ListBullet"/>
        <w:spacing w:after="50" w:line="240" w:lineRule="auto"/>
      </w:pPr>
      <w:r>
        <w:rPr>
          <w:rFonts w:ascii="Calibri" w:hAnsi="Calibri" w:eastAsia="Calibri"/>
          <w:b w:val="0"/>
          <w:i w:val="0"/>
          <w:color w:val="1E293B"/>
          <w:sz w:val="19"/>
        </w:rPr>
        <w:t>Édition et annotation libres : l'avocat dispose d'un document ouvert, modifiable à volonté dans Word avant l'impression finale.</w:t>
      </w:r>
    </w:p>
    <w:p>
      <w:pPr>
        <w:pStyle w:val="Heading2"/>
        <w:keepNext/>
      </w:pPr>
      <w:r>
        <w:rPr>
          <w:rFonts w:ascii="Calibri" w:hAnsi="Calibri"/>
          <w:b/>
          <w:color w:val="0B1A4D"/>
          <w:sz w:val="24"/>
        </w:rPr>
        <w:t>B4. Assistant IA &amp; Clé de barre d'audience</w:t>
      </w:r>
    </w:p>
    <w:p>
      <w:pPr>
        <w:spacing w:after="100" w:line="240" w:lineRule="auto"/>
      </w:pPr>
      <w:r>
        <w:rPr>
          <w:rFonts w:ascii="Calibri" w:hAnsi="Calibri" w:eastAsia="Calibri"/>
          <w:b/>
          <w:i w:val="0"/>
          <w:color w:val="1E293B"/>
          <w:sz w:val="20"/>
        </w:rPr>
        <w:t>La Clé de barre d'audience (Outil de plaidoirie orale) :</w:t>
      </w:r>
    </w:p>
    <w:p>
      <w:pPr>
        <w:pStyle w:val="ListBullet"/>
        <w:spacing w:after="50" w:line="240" w:lineRule="auto"/>
      </w:pPr>
      <w:r>
        <w:rPr>
          <w:rFonts w:ascii="Calibri" w:hAnsi="Calibri" w:eastAsia="Calibri"/>
          <w:b w:val="0"/>
          <w:i w:val="0"/>
          <w:color w:val="1E293B"/>
          <w:sz w:val="19"/>
        </w:rPr>
        <w:t>Générée automatiquement en un clic depuis l'ensemble des pièces probatoires et conclusions d'un dossier.</w:t>
      </w:r>
    </w:p>
    <w:p>
      <w:pPr>
        <w:pStyle w:val="ListBullet"/>
        <w:spacing w:after="50" w:line="240" w:lineRule="auto"/>
      </w:pPr>
      <w:r>
        <w:rPr>
          <w:rFonts w:ascii="Calibri" w:hAnsi="Calibri" w:eastAsia="Calibri"/>
          <w:b w:val="0"/>
          <w:i w:val="0"/>
          <w:color w:val="1E293B"/>
          <w:sz w:val="19"/>
        </w:rPr>
        <w:t>Présente sur une seule page synthétique : la chronologie des faits irréfutables, les moyens juridiques péremptoires, les prétentions chiffrées et les pièges d'audience à anticiper face à la partie adverse.</w:t>
      </w:r>
    </w:p>
    <w:p>
      <w:pPr>
        <w:pStyle w:val="ListBullet"/>
        <w:spacing w:after="50" w:line="240" w:lineRule="auto"/>
      </w:pPr>
      <w:r>
        <w:rPr>
          <w:rFonts w:ascii="Calibri" w:hAnsi="Calibri" w:eastAsia="Calibri"/>
          <w:b w:val="0"/>
          <w:i w:val="0"/>
          <w:color w:val="1E293B"/>
          <w:sz w:val="19"/>
        </w:rPr>
        <w:t>Conçue pour être consultée rapidement sur tablette ou feuille imprimée pendant les débats à la barre.</w:t>
      </w:r>
    </w:p>
    <w:p>
      <w:pPr>
        <w:spacing w:after="100" w:line="240" w:lineRule="auto"/>
      </w:pPr>
      <w:r>
        <w:rPr>
          <w:rFonts w:ascii="Calibri" w:hAnsi="Calibri" w:eastAsia="Calibri"/>
          <w:b/>
          <w:i w:val="0"/>
          <w:color w:val="1E293B"/>
          <w:sz w:val="20"/>
        </w:rPr>
        <w:t>L'Assistant IA interactif :</w:t>
      </w:r>
    </w:p>
    <w:p>
      <w:pPr>
        <w:pStyle w:val="ListBullet"/>
        <w:spacing w:after="50" w:line="240" w:lineRule="auto"/>
      </w:pPr>
      <w:r>
        <w:rPr>
          <w:rFonts w:ascii="Calibri" w:hAnsi="Calibri" w:eastAsia="Calibri"/>
          <w:b w:val="0"/>
          <w:i w:val="0"/>
          <w:color w:val="1E293B"/>
          <w:sz w:val="19"/>
        </w:rPr>
        <w:t>Accessible directement depuis l'atelier de rédaction.</w:t>
      </w:r>
    </w:p>
    <w:p>
      <w:pPr>
        <w:pStyle w:val="ListBullet"/>
        <w:spacing w:after="50" w:line="240" w:lineRule="auto"/>
      </w:pPr>
      <w:r>
        <w:rPr>
          <w:rFonts w:ascii="Calibri" w:hAnsi="Calibri" w:eastAsia="Calibri"/>
          <w:b w:val="0"/>
          <w:i w:val="0"/>
          <w:color w:val="1E293B"/>
          <w:sz w:val="19"/>
        </w:rPr>
        <w:t>Comprend les requêtes en français ou en arabe (ex. « Renforce l'argument sur l'article 400 du DOC » ou « أضف طلباً بالنفاذ المعجل »).</w:t>
      </w:r>
    </w:p>
    <w:p>
      <w:pPr>
        <w:pStyle w:val="ListBullet"/>
        <w:spacing w:after="50" w:line="240" w:lineRule="auto"/>
      </w:pPr>
      <w:r>
        <w:rPr>
          <w:rFonts w:ascii="Calibri" w:hAnsi="Calibri" w:eastAsia="Calibri"/>
          <w:b w:val="0"/>
          <w:i w:val="0"/>
          <w:color w:val="1E293B"/>
          <w:sz w:val="19"/>
        </w:rPr>
        <w:t>Refuse catégoriquement d'inventer des éléments factuels non présents dans le dossier.</w:t>
      </w:r>
    </w:p>
    <w:p>
      <w:pPr>
        <w:pStyle w:val="Heading2"/>
        <w:keepNext/>
      </w:pPr>
      <w:r>
        <w:rPr>
          <w:rFonts w:ascii="Calibri" w:hAnsi="Calibri"/>
          <w:b/>
          <w:color w:val="0B1A4D"/>
          <w:sz w:val="24"/>
        </w:rPr>
        <w:t>B5. Planning d'audience, journal d'activité et gestion d'équipe</w:t>
      </w:r>
    </w:p>
    <w:p>
      <w:pPr>
        <w:pStyle w:val="ListBullet"/>
        <w:spacing w:after="50" w:line="240" w:lineRule="auto"/>
      </w:pPr>
      <w:r>
        <w:rPr>
          <w:rFonts w:ascii="Calibri" w:hAnsi="Calibri" w:eastAsia="Calibri"/>
          <w:b w:val="0"/>
          <w:i w:val="0"/>
          <w:color w:val="1E293B"/>
          <w:sz w:val="19"/>
        </w:rPr>
        <w:t>Agenda judiciaire (/agenda) : suivi des dates d'audiences, des délibérés et des délais impératifs de notification.</w:t>
      </w:r>
    </w:p>
    <w:p>
      <w:pPr>
        <w:pStyle w:val="ListBullet"/>
        <w:spacing w:after="50" w:line="240" w:lineRule="auto"/>
      </w:pPr>
      <w:r>
        <w:rPr>
          <w:rFonts w:ascii="Calibri" w:hAnsi="Calibri" w:eastAsia="Calibri"/>
          <w:b w:val="0"/>
          <w:i w:val="0"/>
          <w:color w:val="1E293B"/>
          <w:sz w:val="19"/>
        </w:rPr>
        <w:t>Journal d'activité (/activity) : historique horodaté de chaque action (création de dossier, modification de conclusions, export de pièces).</w:t>
      </w:r>
    </w:p>
    <w:p>
      <w:pPr>
        <w:pStyle w:val="ListBullet"/>
        <w:spacing w:after="50" w:line="240" w:lineRule="auto"/>
      </w:pPr>
      <w:r>
        <w:rPr>
          <w:rFonts w:ascii="Calibri" w:hAnsi="Calibri" w:eastAsia="Calibri"/>
          <w:b w:val="0"/>
          <w:i w:val="0"/>
          <w:color w:val="1E293B"/>
          <w:sz w:val="19"/>
        </w:rPr>
        <w:t>Gestion d'équipe (/team) : invitation de collaborateurs par e-mail sécurisé avec attribution de rôle (avocat ou assistant) dans la limite des sièges du forfait.</w:t>
      </w:r>
    </w:p>
    <w:p>
      <w:pPr>
        <w:pStyle w:val="Heading1"/>
        <w:keepNext/>
      </w:pPr>
      <w:r>
        <w:rPr>
          <w:rFonts w:ascii="Calibri" w:hAnsi="Calibri"/>
          <w:b/>
          <w:color w:val="0B1A4D"/>
          <w:sz w:val="30"/>
        </w:rPr>
        <w:t>PARTIE C — Modèle économique &amp; Facturation</w:t>
      </w:r>
    </w:p>
    <w:p>
      <w:pPr>
        <w:pStyle w:val="Heading2"/>
        <w:keepNext/>
      </w:pPr>
      <w:r>
        <w:rPr>
          <w:rFonts w:ascii="Calibri" w:hAnsi="Calibri"/>
          <w:b/>
          <w:color w:val="0B1A4D"/>
          <w:sz w:val="24"/>
        </w:rPr>
        <w:t>C1. Grille des plans et quotas réels de production</w:t>
      </w:r>
    </w:p>
    <w:p>
      <w:pPr>
        <w:spacing w:after="100" w:line="240" w:lineRule="auto"/>
      </w:pPr>
      <w:r>
        <w:rPr>
          <w:rFonts w:ascii="Calibri" w:hAnsi="Calibri" w:eastAsia="Calibri"/>
          <w:b w:val="0"/>
          <w:i w:val="0"/>
          <w:color w:val="1E293B"/>
          <w:sz w:val="20"/>
        </w:rPr>
        <w:t>La grille tarifaire de LexHub est calibrée sur la structure économique des cabinets d'avocats marocains, du praticien individuel jusqu'aux grandes structures multi-associés (source : API /api/billing/plans vérifiée) :</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1587"/>
            <w:shd w:fill="0B1A4D" w:val="clear"/>
          </w:tcPr>
          <w:p>
            <w:pPr>
              <w:spacing w:after="60" w:before="60"/>
            </w:pPr>
            <w:r/>
            <w:r>
              <w:rPr>
                <w:rFonts w:ascii="Calibri" w:hAnsi="Calibri" w:eastAsia="Calibri"/>
                <w:b/>
                <w:i w:val="0"/>
                <w:color w:val="FFFFFF"/>
                <w:sz w:val="17"/>
              </w:rPr>
              <w:t>Offre</w:t>
            </w:r>
          </w:p>
        </w:tc>
        <w:tc>
          <w:tcPr>
            <w:tcW w:type="dxa" w:w="1247"/>
            <w:shd w:fill="0B1A4D" w:val="clear"/>
          </w:tcPr>
          <w:p>
            <w:pPr>
              <w:spacing w:after="60" w:before="60"/>
            </w:pPr>
            <w:r/>
            <w:r>
              <w:rPr>
                <w:rFonts w:ascii="Calibri" w:hAnsi="Calibri" w:eastAsia="Calibri"/>
                <w:b/>
                <w:i w:val="0"/>
                <w:color w:val="FFFFFF"/>
                <w:sz w:val="17"/>
              </w:rPr>
              <w:t>Mensuel (MAD)</w:t>
            </w:r>
          </w:p>
        </w:tc>
        <w:tc>
          <w:tcPr>
            <w:tcW w:type="dxa" w:w="1247"/>
            <w:shd w:fill="0B1A4D" w:val="clear"/>
          </w:tcPr>
          <w:p>
            <w:pPr>
              <w:spacing w:after="60" w:before="60"/>
            </w:pPr>
            <w:r/>
            <w:r>
              <w:rPr>
                <w:rFonts w:ascii="Calibri" w:hAnsi="Calibri" w:eastAsia="Calibri"/>
                <w:b/>
                <w:i w:val="0"/>
                <w:color w:val="FFFFFF"/>
                <w:sz w:val="17"/>
              </w:rPr>
              <w:t>Annuel (MAD)</w:t>
            </w:r>
          </w:p>
        </w:tc>
        <w:tc>
          <w:tcPr>
            <w:tcW w:type="dxa" w:w="1587"/>
            <w:shd w:fill="0B1A4D" w:val="clear"/>
          </w:tcPr>
          <w:p>
            <w:pPr>
              <w:spacing w:after="60" w:before="60"/>
            </w:pPr>
            <w:r/>
            <w:r>
              <w:rPr>
                <w:rFonts w:ascii="Calibri" w:hAnsi="Calibri" w:eastAsia="Calibri"/>
                <w:b/>
                <w:i w:val="0"/>
                <w:color w:val="FFFFFF"/>
                <w:sz w:val="17"/>
              </w:rPr>
              <w:t>Essai gratuit</w:t>
            </w:r>
          </w:p>
        </w:tc>
        <w:tc>
          <w:tcPr>
            <w:tcW w:type="dxa" w:w="2268"/>
            <w:shd w:fill="0B1A4D" w:val="clear"/>
          </w:tcPr>
          <w:p>
            <w:pPr>
              <w:spacing w:after="60" w:before="60"/>
            </w:pPr>
            <w:r/>
            <w:r>
              <w:rPr>
                <w:rFonts w:ascii="Calibri" w:hAnsi="Calibri" w:eastAsia="Calibri"/>
                <w:b/>
                <w:i w:val="0"/>
                <w:color w:val="FFFFFF"/>
                <w:sz w:val="17"/>
              </w:rPr>
              <w:t>Composition équipe</w:t>
            </w:r>
          </w:p>
        </w:tc>
        <w:tc>
          <w:tcPr>
            <w:tcW w:type="dxa" w:w="1701"/>
            <w:shd w:fill="0B1A4D" w:val="clear"/>
          </w:tcPr>
          <w:p>
            <w:pPr>
              <w:spacing w:after="60" w:before="60"/>
            </w:pPr>
            <w:r/>
            <w:r>
              <w:rPr>
                <w:rFonts w:ascii="Calibri" w:hAnsi="Calibri" w:eastAsia="Calibri"/>
                <w:b/>
                <w:i w:val="0"/>
                <w:color w:val="FFFFFF"/>
                <w:sz w:val="17"/>
              </w:rPr>
              <w:t>Plaidoiries / mois</w:t>
            </w:r>
          </w:p>
        </w:tc>
        <w:tc>
          <w:tcPr>
            <w:tcW w:type="dxa" w:w="1701"/>
            <w:shd w:fill="0B1A4D" w:val="clear"/>
          </w:tcPr>
          <w:p>
            <w:pPr>
              <w:spacing w:after="60" w:before="60"/>
            </w:pPr>
            <w:r/>
            <w:r>
              <w:rPr>
                <w:rFonts w:ascii="Calibri" w:hAnsi="Calibri" w:eastAsia="Calibri"/>
                <w:b/>
                <w:i w:val="0"/>
                <w:color w:val="FFFFFF"/>
                <w:sz w:val="17"/>
              </w:rPr>
              <w:t>Crédits IA / mois</w:t>
            </w:r>
          </w:p>
        </w:tc>
      </w:tr>
      <w:tr>
        <w:tc>
          <w:tcPr>
            <w:tcW w:type="dxa" w:w="1587"/>
          </w:tcPr>
          <w:p>
            <w:pPr>
              <w:spacing w:after="50" w:before="50"/>
            </w:pPr>
            <w:r/>
            <w:r>
              <w:rPr>
                <w:rFonts w:ascii="Calibri" w:hAnsi="Calibri" w:eastAsia="Calibri"/>
                <w:b w:val="0"/>
                <w:i w:val="0"/>
                <w:color w:val="1E293B"/>
                <w:sz w:val="17"/>
              </w:rPr>
              <w:t>Découverte</w:t>
            </w:r>
          </w:p>
        </w:tc>
        <w:tc>
          <w:tcPr>
            <w:tcW w:type="dxa" w:w="1247"/>
          </w:tcPr>
          <w:p>
            <w:pPr>
              <w:spacing w:after="50" w:before="50"/>
            </w:pPr>
            <w:r/>
            <w:r>
              <w:rPr>
                <w:rFonts w:ascii="Calibri" w:hAnsi="Calibri" w:eastAsia="Calibri"/>
                <w:b w:val="0"/>
                <w:i w:val="0"/>
                <w:color w:val="1E293B"/>
                <w:sz w:val="17"/>
              </w:rPr>
              <w:t>0</w:t>
            </w:r>
          </w:p>
        </w:tc>
        <w:tc>
          <w:tcPr>
            <w:tcW w:type="dxa" w:w="1247"/>
          </w:tcPr>
          <w:p>
            <w:pPr>
              <w:spacing w:after="50" w:before="50"/>
            </w:pPr>
            <w:r/>
            <w:r>
              <w:rPr>
                <w:rFonts w:ascii="Calibri" w:hAnsi="Calibri" w:eastAsia="Calibri"/>
                <w:b w:val="0"/>
                <w:i w:val="0"/>
                <w:color w:val="1E293B"/>
                <w:sz w:val="17"/>
              </w:rPr>
              <w:t>—</w:t>
            </w:r>
          </w:p>
        </w:tc>
        <w:tc>
          <w:tcPr>
            <w:tcW w:type="dxa" w:w="1587"/>
          </w:tcPr>
          <w:p>
            <w:pPr>
              <w:spacing w:after="50" w:before="50"/>
            </w:pPr>
            <w:r/>
            <w:r>
              <w:rPr>
                <w:rFonts w:ascii="Calibri" w:hAnsi="Calibri" w:eastAsia="Calibri"/>
                <w:b w:val="0"/>
                <w:i w:val="0"/>
                <w:color w:val="1E293B"/>
                <w:sz w:val="17"/>
              </w:rPr>
              <w:t>Permanent</w:t>
            </w:r>
          </w:p>
        </w:tc>
        <w:tc>
          <w:tcPr>
            <w:tcW w:type="dxa" w:w="2268"/>
          </w:tcPr>
          <w:p>
            <w:pPr>
              <w:spacing w:after="50" w:before="50"/>
            </w:pPr>
            <w:r/>
            <w:r>
              <w:rPr>
                <w:rFonts w:ascii="Calibri" w:hAnsi="Calibri" w:eastAsia="Calibri"/>
                <w:b w:val="0"/>
                <w:i w:val="0"/>
                <w:color w:val="1E293B"/>
                <w:sz w:val="17"/>
              </w:rPr>
              <w:t>1 avocat · 0 assistant</w:t>
            </w:r>
          </w:p>
        </w:tc>
        <w:tc>
          <w:tcPr>
            <w:tcW w:type="dxa" w:w="1701"/>
          </w:tcPr>
          <w:p>
            <w:pPr>
              <w:spacing w:after="50" w:before="50"/>
            </w:pPr>
            <w:r/>
            <w:r>
              <w:rPr>
                <w:rFonts w:ascii="Calibri" w:hAnsi="Calibri" w:eastAsia="Calibri"/>
                <w:b w:val="0"/>
                <w:i w:val="0"/>
                <w:color w:val="1E293B"/>
                <w:sz w:val="17"/>
              </w:rPr>
              <w:t>3</w:t>
            </w:r>
          </w:p>
        </w:tc>
        <w:tc>
          <w:tcPr>
            <w:tcW w:type="dxa" w:w="1701"/>
          </w:tcPr>
          <w:p>
            <w:pPr>
              <w:spacing w:after="50" w:before="50"/>
            </w:pPr>
            <w:r/>
            <w:r>
              <w:rPr>
                <w:rFonts w:ascii="Calibri" w:hAnsi="Calibri" w:eastAsia="Calibri"/>
                <w:b w:val="0"/>
                <w:i w:val="0"/>
                <w:color w:val="1E293B"/>
                <w:sz w:val="17"/>
              </w:rPr>
              <w:t>50</w:t>
            </w:r>
          </w:p>
        </w:tc>
      </w:tr>
      <w:tr>
        <w:tc>
          <w:tcPr>
            <w:tcW w:type="dxa" w:w="1587"/>
            <w:shd w:fill="F8FAFC" w:val="clear"/>
          </w:tcPr>
          <w:p>
            <w:pPr>
              <w:spacing w:after="50" w:before="50"/>
            </w:pPr>
            <w:r/>
            <w:r>
              <w:rPr>
                <w:rFonts w:ascii="Calibri" w:hAnsi="Calibri" w:eastAsia="Calibri"/>
                <w:b w:val="0"/>
                <w:i w:val="0"/>
                <w:color w:val="1E293B"/>
                <w:sz w:val="17"/>
              </w:rPr>
              <w:t>Solo</w:t>
            </w:r>
          </w:p>
        </w:tc>
        <w:tc>
          <w:tcPr>
            <w:tcW w:type="dxa" w:w="1247"/>
            <w:shd w:fill="F8FAFC" w:val="clear"/>
          </w:tcPr>
          <w:p>
            <w:pPr>
              <w:spacing w:after="50" w:before="50"/>
            </w:pPr>
            <w:r/>
            <w:r>
              <w:rPr>
                <w:rFonts w:ascii="Calibri" w:hAnsi="Calibri" w:eastAsia="Calibri"/>
                <w:b w:val="0"/>
                <w:i w:val="0"/>
                <w:color w:val="1E293B"/>
                <w:sz w:val="17"/>
              </w:rPr>
              <w:t>299</w:t>
            </w:r>
          </w:p>
        </w:tc>
        <w:tc>
          <w:tcPr>
            <w:tcW w:type="dxa" w:w="1247"/>
            <w:shd w:fill="F8FAFC" w:val="clear"/>
          </w:tcPr>
          <w:p>
            <w:pPr>
              <w:spacing w:after="50" w:before="50"/>
            </w:pPr>
            <w:r/>
            <w:r>
              <w:rPr>
                <w:rFonts w:ascii="Calibri" w:hAnsi="Calibri" w:eastAsia="Calibri"/>
                <w:b w:val="0"/>
                <w:i w:val="0"/>
                <w:color w:val="1E293B"/>
                <w:sz w:val="17"/>
              </w:rPr>
              <w:t>2 990</w:t>
            </w:r>
          </w:p>
        </w:tc>
        <w:tc>
          <w:tcPr>
            <w:tcW w:type="dxa" w:w="1587"/>
            <w:shd w:fill="F8FAFC" w:val="clear"/>
          </w:tcPr>
          <w:p>
            <w:pPr>
              <w:spacing w:after="50" w:before="50"/>
            </w:pPr>
            <w:r/>
            <w:r>
              <w:rPr>
                <w:rFonts w:ascii="Calibri" w:hAnsi="Calibri" w:eastAsia="Calibri"/>
                <w:b w:val="0"/>
                <w:i w:val="0"/>
                <w:color w:val="1E293B"/>
                <w:sz w:val="17"/>
              </w:rPr>
              <w:t>14 jours</w:t>
            </w:r>
          </w:p>
        </w:tc>
        <w:tc>
          <w:tcPr>
            <w:tcW w:type="dxa" w:w="2268"/>
            <w:shd w:fill="F8FAFC" w:val="clear"/>
          </w:tcPr>
          <w:p>
            <w:pPr>
              <w:spacing w:after="50" w:before="50"/>
            </w:pPr>
            <w:r/>
            <w:r>
              <w:rPr>
                <w:rFonts w:ascii="Calibri" w:hAnsi="Calibri" w:eastAsia="Calibri"/>
                <w:b w:val="0"/>
                <w:i w:val="0"/>
                <w:color w:val="1E293B"/>
                <w:sz w:val="17"/>
              </w:rPr>
              <w:t>1 avocat + 1 assistant</w:t>
            </w:r>
          </w:p>
        </w:tc>
        <w:tc>
          <w:tcPr>
            <w:tcW w:type="dxa" w:w="1701"/>
            <w:shd w:fill="F8FAFC" w:val="clear"/>
          </w:tcPr>
          <w:p>
            <w:pPr>
              <w:spacing w:after="50" w:before="50"/>
            </w:pPr>
            <w:r/>
            <w:r>
              <w:rPr>
                <w:rFonts w:ascii="Calibri" w:hAnsi="Calibri" w:eastAsia="Calibri"/>
                <w:b w:val="0"/>
                <w:i w:val="0"/>
                <w:color w:val="1E293B"/>
                <w:sz w:val="17"/>
              </w:rPr>
              <w:t>35</w:t>
            </w:r>
          </w:p>
        </w:tc>
        <w:tc>
          <w:tcPr>
            <w:tcW w:type="dxa" w:w="1701"/>
            <w:shd w:fill="F8FAFC" w:val="clear"/>
          </w:tcPr>
          <w:p>
            <w:pPr>
              <w:spacing w:after="50" w:before="50"/>
            </w:pPr>
            <w:r/>
            <w:r>
              <w:rPr>
                <w:rFonts w:ascii="Calibri" w:hAnsi="Calibri" w:eastAsia="Calibri"/>
                <w:b w:val="0"/>
                <w:i w:val="0"/>
                <w:color w:val="1E293B"/>
                <w:sz w:val="17"/>
              </w:rPr>
              <w:t>600</w:t>
            </w:r>
          </w:p>
        </w:tc>
      </w:tr>
      <w:tr>
        <w:tc>
          <w:tcPr>
            <w:tcW w:type="dxa" w:w="1587"/>
          </w:tcPr>
          <w:p>
            <w:pPr>
              <w:spacing w:after="50" w:before="50"/>
            </w:pPr>
            <w:r/>
            <w:r>
              <w:rPr>
                <w:rFonts w:ascii="Calibri" w:hAnsi="Calibri" w:eastAsia="Calibri"/>
                <w:b w:val="0"/>
                <w:i w:val="0"/>
                <w:color w:val="1E293B"/>
                <w:sz w:val="17"/>
              </w:rPr>
              <w:t>Cabinet ★</w:t>
            </w:r>
          </w:p>
        </w:tc>
        <w:tc>
          <w:tcPr>
            <w:tcW w:type="dxa" w:w="1247"/>
          </w:tcPr>
          <w:p>
            <w:pPr>
              <w:spacing w:after="50" w:before="50"/>
            </w:pPr>
            <w:r/>
            <w:r>
              <w:rPr>
                <w:rFonts w:ascii="Calibri" w:hAnsi="Calibri" w:eastAsia="Calibri"/>
                <w:b w:val="0"/>
                <w:i w:val="0"/>
                <w:color w:val="1E293B"/>
                <w:sz w:val="17"/>
              </w:rPr>
              <w:t>699</w:t>
            </w:r>
          </w:p>
        </w:tc>
        <w:tc>
          <w:tcPr>
            <w:tcW w:type="dxa" w:w="1247"/>
          </w:tcPr>
          <w:p>
            <w:pPr>
              <w:spacing w:after="50" w:before="50"/>
            </w:pPr>
            <w:r/>
            <w:r>
              <w:rPr>
                <w:rFonts w:ascii="Calibri" w:hAnsi="Calibri" w:eastAsia="Calibri"/>
                <w:b w:val="0"/>
                <w:i w:val="0"/>
                <w:color w:val="1E293B"/>
                <w:sz w:val="17"/>
              </w:rPr>
              <w:t>6 990</w:t>
            </w:r>
          </w:p>
        </w:tc>
        <w:tc>
          <w:tcPr>
            <w:tcW w:type="dxa" w:w="1587"/>
          </w:tcPr>
          <w:p>
            <w:pPr>
              <w:spacing w:after="50" w:before="50"/>
            </w:pPr>
            <w:r/>
            <w:r>
              <w:rPr>
                <w:rFonts w:ascii="Calibri" w:hAnsi="Calibri" w:eastAsia="Calibri"/>
                <w:b w:val="0"/>
                <w:i w:val="0"/>
                <w:color w:val="1E293B"/>
                <w:sz w:val="17"/>
              </w:rPr>
              <w:t>30 jours</w:t>
            </w:r>
          </w:p>
        </w:tc>
        <w:tc>
          <w:tcPr>
            <w:tcW w:type="dxa" w:w="2268"/>
          </w:tcPr>
          <w:p>
            <w:pPr>
              <w:spacing w:after="50" w:before="50"/>
            </w:pPr>
            <w:r/>
            <w:r>
              <w:rPr>
                <w:rFonts w:ascii="Calibri" w:hAnsi="Calibri" w:eastAsia="Calibri"/>
                <w:b w:val="0"/>
                <w:i w:val="0"/>
                <w:color w:val="1E293B"/>
                <w:sz w:val="17"/>
              </w:rPr>
              <w:t>5 avocats + 3 assistants</w:t>
            </w:r>
          </w:p>
        </w:tc>
        <w:tc>
          <w:tcPr>
            <w:tcW w:type="dxa" w:w="1701"/>
          </w:tcPr>
          <w:p>
            <w:pPr>
              <w:spacing w:after="50" w:before="50"/>
            </w:pPr>
            <w:r/>
            <w:r>
              <w:rPr>
                <w:rFonts w:ascii="Calibri" w:hAnsi="Calibri" w:eastAsia="Calibri"/>
                <w:b w:val="0"/>
                <w:i w:val="0"/>
                <w:color w:val="1E293B"/>
                <w:sz w:val="17"/>
              </w:rPr>
              <w:t>120</w:t>
            </w:r>
          </w:p>
        </w:tc>
        <w:tc>
          <w:tcPr>
            <w:tcW w:type="dxa" w:w="1701"/>
          </w:tcPr>
          <w:p>
            <w:pPr>
              <w:spacing w:after="50" w:before="50"/>
            </w:pPr>
            <w:r/>
            <w:r>
              <w:rPr>
                <w:rFonts w:ascii="Calibri" w:hAnsi="Calibri" w:eastAsia="Calibri"/>
                <w:b w:val="0"/>
                <w:i w:val="0"/>
                <w:color w:val="1E293B"/>
                <w:sz w:val="17"/>
              </w:rPr>
              <w:t>2 000</w:t>
            </w:r>
          </w:p>
        </w:tc>
      </w:tr>
      <w:tr>
        <w:tc>
          <w:tcPr>
            <w:tcW w:type="dxa" w:w="1587"/>
            <w:shd w:fill="F8FAFC" w:val="clear"/>
          </w:tcPr>
          <w:p>
            <w:pPr>
              <w:spacing w:after="50" w:before="50"/>
            </w:pPr>
            <w:r/>
            <w:r>
              <w:rPr>
                <w:rFonts w:ascii="Calibri" w:hAnsi="Calibri" w:eastAsia="Calibri"/>
                <w:b w:val="0"/>
                <w:i w:val="0"/>
                <w:color w:val="1E293B"/>
                <w:sz w:val="17"/>
              </w:rPr>
              <w:t>Entreprise</w:t>
            </w:r>
          </w:p>
        </w:tc>
        <w:tc>
          <w:tcPr>
            <w:tcW w:type="dxa" w:w="1247"/>
            <w:shd w:fill="F8FAFC" w:val="clear"/>
          </w:tcPr>
          <w:p>
            <w:pPr>
              <w:spacing w:after="50" w:before="50"/>
            </w:pPr>
            <w:r/>
            <w:r>
              <w:rPr>
                <w:rFonts w:ascii="Calibri" w:hAnsi="Calibri" w:eastAsia="Calibri"/>
                <w:b w:val="0"/>
                <w:i w:val="0"/>
                <w:color w:val="1E293B"/>
                <w:sz w:val="17"/>
              </w:rPr>
              <w:t>1 290</w:t>
            </w:r>
          </w:p>
        </w:tc>
        <w:tc>
          <w:tcPr>
            <w:tcW w:type="dxa" w:w="1247"/>
            <w:shd w:fill="F8FAFC" w:val="clear"/>
          </w:tcPr>
          <w:p>
            <w:pPr>
              <w:spacing w:after="50" w:before="50"/>
            </w:pPr>
            <w:r/>
            <w:r>
              <w:rPr>
                <w:rFonts w:ascii="Calibri" w:hAnsi="Calibri" w:eastAsia="Calibri"/>
                <w:b w:val="0"/>
                <w:i w:val="0"/>
                <w:color w:val="1E293B"/>
                <w:sz w:val="17"/>
              </w:rPr>
              <w:t>12 900</w:t>
            </w:r>
          </w:p>
        </w:tc>
        <w:tc>
          <w:tcPr>
            <w:tcW w:type="dxa" w:w="1587"/>
            <w:shd w:fill="F8FAFC" w:val="clear"/>
          </w:tcPr>
          <w:p>
            <w:pPr>
              <w:spacing w:after="50" w:before="50"/>
            </w:pPr>
            <w:r/>
            <w:r>
              <w:rPr>
                <w:rFonts w:ascii="Calibri" w:hAnsi="Calibri" w:eastAsia="Calibri"/>
                <w:b w:val="0"/>
                <w:i w:val="0"/>
                <w:color w:val="1E293B"/>
                <w:sz w:val="17"/>
              </w:rPr>
              <w:t>Sur qualification</w:t>
            </w:r>
          </w:p>
        </w:tc>
        <w:tc>
          <w:tcPr>
            <w:tcW w:type="dxa" w:w="2268"/>
            <w:shd w:fill="F8FAFC" w:val="clear"/>
          </w:tcPr>
          <w:p>
            <w:pPr>
              <w:spacing w:after="50" w:before="50"/>
            </w:pPr>
            <w:r/>
            <w:r>
              <w:rPr>
                <w:rFonts w:ascii="Calibri" w:hAnsi="Calibri" w:eastAsia="Calibri"/>
                <w:b w:val="0"/>
                <w:i w:val="0"/>
                <w:color w:val="1E293B"/>
                <w:sz w:val="17"/>
              </w:rPr>
              <w:t>15 avocats + 10 assistants</w:t>
            </w:r>
          </w:p>
        </w:tc>
        <w:tc>
          <w:tcPr>
            <w:tcW w:type="dxa" w:w="1701"/>
            <w:shd w:fill="F8FAFC" w:val="clear"/>
          </w:tcPr>
          <w:p>
            <w:pPr>
              <w:spacing w:after="50" w:before="50"/>
            </w:pPr>
            <w:r/>
            <w:r>
              <w:rPr>
                <w:rFonts w:ascii="Calibri" w:hAnsi="Calibri" w:eastAsia="Calibri"/>
                <w:b w:val="0"/>
                <w:i w:val="0"/>
                <w:color w:val="1E293B"/>
                <w:sz w:val="17"/>
              </w:rPr>
              <w:t>350</w:t>
            </w:r>
          </w:p>
        </w:tc>
        <w:tc>
          <w:tcPr>
            <w:tcW w:type="dxa" w:w="1701"/>
            <w:shd w:fill="F8FAFC" w:val="clear"/>
          </w:tcPr>
          <w:p>
            <w:pPr>
              <w:spacing w:after="50" w:before="50"/>
            </w:pPr>
            <w:r/>
            <w:r>
              <w:rPr>
                <w:rFonts w:ascii="Calibri" w:hAnsi="Calibri" w:eastAsia="Calibri"/>
                <w:b w:val="0"/>
                <w:i w:val="0"/>
                <w:color w:val="1E293B"/>
                <w:sz w:val="17"/>
              </w:rPr>
              <w:t>5 000</w:t>
            </w:r>
          </w:p>
        </w:tc>
      </w:tr>
      <w:tr>
        <w:tc>
          <w:tcPr>
            <w:tcW w:type="dxa" w:w="1587"/>
          </w:tcPr>
          <w:p>
            <w:pPr>
              <w:spacing w:after="50" w:before="50"/>
            </w:pPr>
            <w:r/>
            <w:r>
              <w:rPr>
                <w:rFonts w:ascii="Calibri" w:hAnsi="Calibri" w:eastAsia="Calibri"/>
                <w:b w:val="0"/>
                <w:i w:val="0"/>
                <w:color w:val="1E293B"/>
                <w:sz w:val="17"/>
              </w:rPr>
              <w:t>Sur mesure</w:t>
            </w:r>
          </w:p>
        </w:tc>
        <w:tc>
          <w:tcPr>
            <w:tcW w:type="dxa" w:w="1247"/>
          </w:tcPr>
          <w:p>
            <w:pPr>
              <w:spacing w:after="50" w:before="50"/>
            </w:pPr>
            <w:r/>
            <w:r>
              <w:rPr>
                <w:rFonts w:ascii="Calibri" w:hAnsi="Calibri" w:eastAsia="Calibri"/>
                <w:b w:val="0"/>
                <w:i w:val="0"/>
                <w:color w:val="1E293B"/>
                <w:sz w:val="17"/>
              </w:rPr>
              <w:t>Sur devis</w:t>
            </w:r>
          </w:p>
        </w:tc>
        <w:tc>
          <w:tcPr>
            <w:tcW w:type="dxa" w:w="1247"/>
          </w:tcPr>
          <w:p>
            <w:pPr>
              <w:spacing w:after="50" w:before="50"/>
            </w:pPr>
            <w:r/>
            <w:r>
              <w:rPr>
                <w:rFonts w:ascii="Calibri" w:hAnsi="Calibri" w:eastAsia="Calibri"/>
                <w:b w:val="0"/>
                <w:i w:val="0"/>
                <w:color w:val="1E293B"/>
                <w:sz w:val="17"/>
              </w:rPr>
              <w:t>Sur contrat</w:t>
            </w:r>
          </w:p>
        </w:tc>
        <w:tc>
          <w:tcPr>
            <w:tcW w:type="dxa" w:w="1587"/>
          </w:tcPr>
          <w:p>
            <w:pPr>
              <w:spacing w:after="50" w:before="50"/>
            </w:pPr>
            <w:r/>
            <w:r>
              <w:rPr>
                <w:rFonts w:ascii="Calibri" w:hAnsi="Calibri" w:eastAsia="Calibri"/>
                <w:b w:val="0"/>
                <w:i w:val="0"/>
                <w:color w:val="1E293B"/>
                <w:sz w:val="17"/>
              </w:rPr>
              <w:t>Accompagné</w:t>
            </w:r>
          </w:p>
        </w:tc>
        <w:tc>
          <w:tcPr>
            <w:tcW w:type="dxa" w:w="2268"/>
          </w:tcPr>
          <w:p>
            <w:pPr>
              <w:spacing w:after="50" w:before="50"/>
            </w:pPr>
            <w:r/>
            <w:r>
              <w:rPr>
                <w:rFonts w:ascii="Calibri" w:hAnsi="Calibri" w:eastAsia="Calibri"/>
                <w:b w:val="0"/>
                <w:i w:val="0"/>
                <w:color w:val="1E293B"/>
                <w:sz w:val="17"/>
              </w:rPr>
              <w:t>Cabinets &gt; 15 avocats</w:t>
            </w:r>
          </w:p>
        </w:tc>
        <w:tc>
          <w:tcPr>
            <w:tcW w:type="dxa" w:w="1701"/>
          </w:tcPr>
          <w:p>
            <w:pPr>
              <w:spacing w:after="50" w:before="50"/>
            </w:pPr>
            <w:r/>
            <w:r>
              <w:rPr>
                <w:rFonts w:ascii="Calibri" w:hAnsi="Calibri" w:eastAsia="Calibri"/>
                <w:b w:val="0"/>
                <w:i w:val="0"/>
                <w:color w:val="1E293B"/>
                <w:sz w:val="17"/>
              </w:rPr>
              <w:t>Personnalisé</w:t>
            </w:r>
          </w:p>
        </w:tc>
        <w:tc>
          <w:tcPr>
            <w:tcW w:type="dxa" w:w="1701"/>
          </w:tcPr>
          <w:p>
            <w:pPr>
              <w:spacing w:after="50" w:before="50"/>
            </w:pPr>
            <w:r/>
            <w:r>
              <w:rPr>
                <w:rFonts w:ascii="Calibri" w:hAnsi="Calibri" w:eastAsia="Calibri"/>
                <w:b w:val="0"/>
                <w:i w:val="0"/>
                <w:color w:val="1E293B"/>
                <w:sz w:val="17"/>
              </w:rPr>
              <w:t>Dédié</w:t>
            </w:r>
          </w:p>
        </w:tc>
      </w:tr>
    </w:tbl>
    <w:p>
      <w:pPr>
        <w:spacing w:after="40"/>
      </w:pPr>
    </w:p>
    <w:p>
      <w:pPr>
        <w:spacing w:after="100" w:line="240" w:lineRule="auto"/>
      </w:pPr>
      <w:r>
        <w:rPr>
          <w:rFonts w:ascii="Calibri" w:hAnsi="Calibri" w:eastAsia="Calibri"/>
          <w:b w:val="0"/>
          <w:i/>
          <w:color w:val="1E293B"/>
          <w:sz w:val="18"/>
        </w:rPr>
        <w:t>Note sur le plan Cabinet ★ : offre recommandée couvrant 85 % des structures d'exercice au Maroc. Possibilité d'ajouter des sièges d'avocats supplémentaires à la carte au tarif de 99 MAD / mois par avocat (jusqu'à 10 avocats au total).</w:t>
      </w:r>
    </w:p>
    <w:p>
      <w:pPr>
        <w:spacing w:after="100" w:line="240" w:lineRule="auto"/>
      </w:pPr>
      <w:r>
        <w:rPr>
          <w:rFonts w:ascii="Calibri" w:hAnsi="Calibri" w:eastAsia="Calibri"/>
          <w:b/>
          <w:i w:val="0"/>
          <w:color w:val="1E293B"/>
          <w:sz w:val="20"/>
        </w:rPr>
        <w:t>Barème de consommation des crédits d'Intelligence Artificielle :</w:t>
      </w:r>
    </w:p>
    <w:tbl>
      <w:tblPr>
        <w:tblStyle w:val="TableGrid"/>
        <w:tblW w:type="auto" w:w="0"/>
        <w:tblLayout w:type="fixed"/>
        <w:tblLook w:firstColumn="1" w:firstRow="1" w:lastColumn="0" w:lastRow="0" w:noHBand="0" w:noVBand="1" w:val="04A0"/>
      </w:tblPr>
      <w:tblGrid>
        <w:gridCol w:w="2550"/>
        <w:gridCol w:w="2550"/>
        <w:gridCol w:w="2550"/>
        <w:gridCol w:w="2550"/>
      </w:tblGrid>
      <w:tr>
        <w:tc>
          <w:tcPr>
            <w:tcW w:type="dxa" w:w="3118"/>
            <w:shd w:fill="0B1A4D" w:val="clear"/>
          </w:tcPr>
          <w:p>
            <w:pPr>
              <w:spacing w:after="60" w:before="60"/>
            </w:pPr>
            <w:r/>
            <w:r>
              <w:rPr>
                <w:rFonts w:ascii="Calibri" w:hAnsi="Calibri" w:eastAsia="Calibri"/>
                <w:b/>
                <w:i w:val="0"/>
                <w:color w:val="FFFFFF"/>
                <w:sz w:val="17"/>
              </w:rPr>
              <w:t>Opération d'Intelligence Artificielle</w:t>
            </w:r>
          </w:p>
        </w:tc>
        <w:tc>
          <w:tcPr>
            <w:tcW w:type="dxa" w:w="1984"/>
            <w:shd w:fill="0B1A4D" w:val="clear"/>
          </w:tcPr>
          <w:p>
            <w:pPr>
              <w:spacing w:after="60" w:before="60"/>
            </w:pPr>
            <w:r/>
            <w:r>
              <w:rPr>
                <w:rFonts w:ascii="Calibri" w:hAnsi="Calibri" w:eastAsia="Calibri"/>
                <w:b/>
                <w:i w:val="0"/>
                <w:color w:val="FFFFFF"/>
                <w:sz w:val="17"/>
              </w:rPr>
              <w:t>Coût unitaire en crédits</w:t>
            </w:r>
          </w:p>
        </w:tc>
        <w:tc>
          <w:tcPr>
            <w:tcW w:type="dxa" w:w="2268"/>
            <w:shd w:fill="0B1A4D" w:val="clear"/>
          </w:tcPr>
          <w:p>
            <w:pPr>
              <w:spacing w:after="60" w:before="60"/>
            </w:pPr>
            <w:r/>
            <w:r>
              <w:rPr>
                <w:rFonts w:ascii="Calibri" w:hAnsi="Calibri" w:eastAsia="Calibri"/>
                <w:b/>
                <w:i w:val="0"/>
                <w:color w:val="FFFFFF"/>
                <w:sz w:val="17"/>
              </w:rPr>
              <w:t>Volume mensuel inclus (Plan Solo)</w:t>
            </w:r>
          </w:p>
        </w:tc>
        <w:tc>
          <w:tcPr>
            <w:tcW w:type="dxa" w:w="2268"/>
            <w:shd w:fill="0B1A4D" w:val="clear"/>
          </w:tcPr>
          <w:p>
            <w:pPr>
              <w:spacing w:after="60" w:before="60"/>
            </w:pPr>
            <w:r/>
            <w:r>
              <w:rPr>
                <w:rFonts w:ascii="Calibri" w:hAnsi="Calibri" w:eastAsia="Calibri"/>
                <w:b/>
                <w:i w:val="0"/>
                <w:color w:val="FFFFFF"/>
                <w:sz w:val="17"/>
              </w:rPr>
              <w:t>Volume mensuel inclus (Plan Cabinet)</w:t>
            </w:r>
          </w:p>
        </w:tc>
      </w:tr>
      <w:tr>
        <w:tc>
          <w:tcPr>
            <w:tcW w:type="dxa" w:w="3118"/>
          </w:tcPr>
          <w:p>
            <w:pPr>
              <w:spacing w:after="50" w:before="50"/>
            </w:pPr>
            <w:r/>
            <w:r>
              <w:rPr>
                <w:rFonts w:ascii="Calibri" w:hAnsi="Calibri" w:eastAsia="Calibri"/>
                <w:b w:val="0"/>
                <w:i w:val="0"/>
                <w:color w:val="1E293B"/>
                <w:sz w:val="17"/>
              </w:rPr>
              <w:t>Rédaction complète de plaidoirie</w:t>
            </w:r>
          </w:p>
        </w:tc>
        <w:tc>
          <w:tcPr>
            <w:tcW w:type="dxa" w:w="1984"/>
          </w:tcPr>
          <w:p>
            <w:pPr>
              <w:spacing w:after="50" w:before="50"/>
            </w:pPr>
            <w:r/>
            <w:r>
              <w:rPr>
                <w:rFonts w:ascii="Calibri" w:hAnsi="Calibri" w:eastAsia="Calibri"/>
                <w:b w:val="0"/>
                <w:i w:val="0"/>
                <w:color w:val="1E293B"/>
                <w:sz w:val="17"/>
              </w:rPr>
              <w:t>10 crédits</w:t>
            </w:r>
          </w:p>
        </w:tc>
        <w:tc>
          <w:tcPr>
            <w:tcW w:type="dxa" w:w="2268"/>
          </w:tcPr>
          <w:p>
            <w:pPr>
              <w:spacing w:after="50" w:before="50"/>
            </w:pPr>
            <w:r/>
            <w:r>
              <w:rPr>
                <w:rFonts w:ascii="Calibri" w:hAnsi="Calibri" w:eastAsia="Calibri"/>
                <w:b w:val="0"/>
                <w:i w:val="0"/>
                <w:color w:val="1E293B"/>
                <w:sz w:val="17"/>
              </w:rPr>
              <w:t>35 plaidoiries</w:t>
            </w:r>
          </w:p>
        </w:tc>
        <w:tc>
          <w:tcPr>
            <w:tcW w:type="dxa" w:w="2268"/>
          </w:tcPr>
          <w:p>
            <w:pPr>
              <w:spacing w:after="50" w:before="50"/>
            </w:pPr>
            <w:r/>
            <w:r>
              <w:rPr>
                <w:rFonts w:ascii="Calibri" w:hAnsi="Calibri" w:eastAsia="Calibri"/>
                <w:b w:val="0"/>
                <w:i w:val="0"/>
                <w:color w:val="1E293B"/>
                <w:sz w:val="17"/>
              </w:rPr>
              <w:t>120 plaidoiries</w:t>
            </w:r>
          </w:p>
        </w:tc>
      </w:tr>
      <w:tr>
        <w:tc>
          <w:tcPr>
            <w:tcW w:type="dxa" w:w="3118"/>
            <w:shd w:fill="F8FAFC" w:val="clear"/>
          </w:tcPr>
          <w:p>
            <w:pPr>
              <w:spacing w:after="50" w:before="50"/>
            </w:pPr>
            <w:r/>
            <w:r>
              <w:rPr>
                <w:rFonts w:ascii="Calibri" w:hAnsi="Calibri" w:eastAsia="Calibri"/>
                <w:b w:val="0"/>
                <w:i w:val="0"/>
                <w:color w:val="1E293B"/>
                <w:sz w:val="17"/>
              </w:rPr>
              <w:t>Révision de section par Assistant IA</w:t>
            </w:r>
          </w:p>
        </w:tc>
        <w:tc>
          <w:tcPr>
            <w:tcW w:type="dxa" w:w="1984"/>
            <w:shd w:fill="F8FAFC" w:val="clear"/>
          </w:tcPr>
          <w:p>
            <w:pPr>
              <w:spacing w:after="50" w:before="50"/>
            </w:pPr>
            <w:r/>
            <w:r>
              <w:rPr>
                <w:rFonts w:ascii="Calibri" w:hAnsi="Calibri" w:eastAsia="Calibri"/>
                <w:b w:val="0"/>
                <w:i w:val="0"/>
                <w:color w:val="1E293B"/>
                <w:sz w:val="17"/>
              </w:rPr>
              <w:t>5 crédits</w:t>
            </w:r>
          </w:p>
        </w:tc>
        <w:tc>
          <w:tcPr>
            <w:tcW w:type="dxa" w:w="2268"/>
            <w:shd w:fill="F8FAFC" w:val="clear"/>
          </w:tcPr>
          <w:p>
            <w:pPr>
              <w:spacing w:after="50" w:before="50"/>
            </w:pPr>
            <w:r/>
            <w:r>
              <w:rPr>
                <w:rFonts w:ascii="Calibri" w:hAnsi="Calibri" w:eastAsia="Calibri"/>
                <w:b w:val="0"/>
                <w:i w:val="0"/>
                <w:color w:val="1E293B"/>
                <w:sz w:val="17"/>
              </w:rPr>
              <w:t>60 révisions</w:t>
            </w:r>
          </w:p>
        </w:tc>
        <w:tc>
          <w:tcPr>
            <w:tcW w:type="dxa" w:w="2268"/>
            <w:shd w:fill="F8FAFC" w:val="clear"/>
          </w:tcPr>
          <w:p>
            <w:pPr>
              <w:spacing w:after="50" w:before="50"/>
            </w:pPr>
            <w:r/>
            <w:r>
              <w:rPr>
                <w:rFonts w:ascii="Calibri" w:hAnsi="Calibri" w:eastAsia="Calibri"/>
                <w:b w:val="0"/>
                <w:i w:val="0"/>
                <w:color w:val="1E293B"/>
                <w:sz w:val="17"/>
              </w:rPr>
              <w:t>250 révisions</w:t>
            </w:r>
          </w:p>
        </w:tc>
      </w:tr>
      <w:tr>
        <w:tc>
          <w:tcPr>
            <w:tcW w:type="dxa" w:w="3118"/>
          </w:tcPr>
          <w:p>
            <w:pPr>
              <w:spacing w:after="50" w:before="50"/>
            </w:pPr>
            <w:r/>
            <w:r>
              <w:rPr>
                <w:rFonts w:ascii="Calibri" w:hAnsi="Calibri" w:eastAsia="Calibri"/>
                <w:b w:val="0"/>
                <w:i w:val="0"/>
                <w:color w:val="1E293B"/>
                <w:sz w:val="17"/>
              </w:rPr>
              <w:t>Analyse approfondie d'une pièce</w:t>
            </w:r>
          </w:p>
        </w:tc>
        <w:tc>
          <w:tcPr>
            <w:tcW w:type="dxa" w:w="1984"/>
          </w:tcPr>
          <w:p>
            <w:pPr>
              <w:spacing w:after="50" w:before="50"/>
            </w:pPr>
            <w:r/>
            <w:r>
              <w:rPr>
                <w:rFonts w:ascii="Calibri" w:hAnsi="Calibri" w:eastAsia="Calibri"/>
                <w:b w:val="0"/>
                <w:i w:val="0"/>
                <w:color w:val="1E293B"/>
                <w:sz w:val="17"/>
              </w:rPr>
              <w:t>8 crédits</w:t>
            </w:r>
          </w:p>
        </w:tc>
        <w:tc>
          <w:tcPr>
            <w:tcW w:type="dxa" w:w="2268"/>
          </w:tcPr>
          <w:p>
            <w:pPr>
              <w:spacing w:after="50" w:before="50"/>
            </w:pPr>
            <w:r/>
            <w:r>
              <w:rPr>
                <w:rFonts w:ascii="Calibri" w:hAnsi="Calibri" w:eastAsia="Calibri"/>
                <w:b w:val="0"/>
                <w:i w:val="0"/>
                <w:color w:val="1E293B"/>
                <w:sz w:val="17"/>
              </w:rPr>
              <w:t>12 analyses</w:t>
            </w:r>
          </w:p>
        </w:tc>
        <w:tc>
          <w:tcPr>
            <w:tcW w:type="dxa" w:w="2268"/>
          </w:tcPr>
          <w:p>
            <w:pPr>
              <w:spacing w:after="50" w:before="50"/>
            </w:pPr>
            <w:r/>
            <w:r>
              <w:rPr>
                <w:rFonts w:ascii="Calibri" w:hAnsi="Calibri" w:eastAsia="Calibri"/>
                <w:b w:val="0"/>
                <w:i w:val="0"/>
                <w:color w:val="1E293B"/>
                <w:sz w:val="17"/>
              </w:rPr>
              <w:t>50 analyses</w:t>
            </w:r>
          </w:p>
        </w:tc>
      </w:tr>
      <w:tr>
        <w:tc>
          <w:tcPr>
            <w:tcW w:type="dxa" w:w="3118"/>
            <w:shd w:fill="F8FAFC" w:val="clear"/>
          </w:tcPr>
          <w:p>
            <w:pPr>
              <w:spacing w:after="50" w:before="50"/>
            </w:pPr>
            <w:r/>
            <w:r>
              <w:rPr>
                <w:rFonts w:ascii="Calibri" w:hAnsi="Calibri" w:eastAsia="Calibri"/>
                <w:b w:val="0"/>
                <w:i w:val="0"/>
                <w:color w:val="1E293B"/>
                <w:sz w:val="17"/>
              </w:rPr>
              <w:t>Synthèse globale d'un dossier</w:t>
            </w:r>
          </w:p>
        </w:tc>
        <w:tc>
          <w:tcPr>
            <w:tcW w:type="dxa" w:w="1984"/>
            <w:shd w:fill="F8FAFC" w:val="clear"/>
          </w:tcPr>
          <w:p>
            <w:pPr>
              <w:spacing w:after="50" w:before="50"/>
            </w:pPr>
            <w:r/>
            <w:r>
              <w:rPr>
                <w:rFonts w:ascii="Calibri" w:hAnsi="Calibri" w:eastAsia="Calibri"/>
                <w:b w:val="0"/>
                <w:i w:val="0"/>
                <w:color w:val="1E293B"/>
                <w:sz w:val="17"/>
              </w:rPr>
              <w:t>4 crédits</w:t>
            </w:r>
          </w:p>
        </w:tc>
        <w:tc>
          <w:tcPr>
            <w:tcW w:type="dxa" w:w="2268"/>
            <w:shd w:fill="F8FAFC" w:val="clear"/>
          </w:tcPr>
          <w:p>
            <w:pPr>
              <w:spacing w:after="50" w:before="50"/>
            </w:pPr>
            <w:r/>
            <w:r>
              <w:rPr>
                <w:rFonts w:ascii="Calibri" w:hAnsi="Calibri" w:eastAsia="Calibri"/>
                <w:b w:val="0"/>
                <w:i w:val="0"/>
                <w:color w:val="1E293B"/>
                <w:sz w:val="17"/>
              </w:rPr>
              <w:t>25 synthèses</w:t>
            </w:r>
          </w:p>
        </w:tc>
        <w:tc>
          <w:tcPr>
            <w:tcW w:type="dxa" w:w="2268"/>
            <w:shd w:fill="F8FAFC" w:val="clear"/>
          </w:tcPr>
          <w:p>
            <w:pPr>
              <w:spacing w:after="50" w:before="50"/>
            </w:pPr>
            <w:r/>
            <w:r>
              <w:rPr>
                <w:rFonts w:ascii="Calibri" w:hAnsi="Calibri" w:eastAsia="Calibri"/>
                <w:b w:val="0"/>
                <w:i w:val="0"/>
                <w:color w:val="1E293B"/>
                <w:sz w:val="17"/>
              </w:rPr>
              <w:t>100 synthèses</w:t>
            </w:r>
          </w:p>
        </w:tc>
      </w:tr>
      <w:tr>
        <w:tc>
          <w:tcPr>
            <w:tcW w:type="dxa" w:w="3118"/>
          </w:tcPr>
          <w:p>
            <w:pPr>
              <w:spacing w:after="50" w:before="50"/>
            </w:pPr>
            <w:r/>
            <w:r>
              <w:rPr>
                <w:rFonts w:ascii="Calibri" w:hAnsi="Calibri" w:eastAsia="Calibri"/>
                <w:b w:val="0"/>
                <w:i w:val="0"/>
                <w:color w:val="1E293B"/>
                <w:sz w:val="17"/>
              </w:rPr>
              <w:t>Question ponctuelle sur le dossier</w:t>
            </w:r>
          </w:p>
        </w:tc>
        <w:tc>
          <w:tcPr>
            <w:tcW w:type="dxa" w:w="1984"/>
          </w:tcPr>
          <w:p>
            <w:pPr>
              <w:spacing w:after="50" w:before="50"/>
            </w:pPr>
            <w:r/>
            <w:r>
              <w:rPr>
                <w:rFonts w:ascii="Calibri" w:hAnsi="Calibri" w:eastAsia="Calibri"/>
                <w:b w:val="0"/>
                <w:i w:val="0"/>
                <w:color w:val="1E293B"/>
                <w:sz w:val="17"/>
              </w:rPr>
              <w:t>2 crédits</w:t>
            </w:r>
          </w:p>
        </w:tc>
        <w:tc>
          <w:tcPr>
            <w:tcW w:type="dxa" w:w="2268"/>
          </w:tcPr>
          <w:p>
            <w:pPr>
              <w:spacing w:after="50" w:before="50"/>
            </w:pPr>
            <w:r/>
            <w:r>
              <w:rPr>
                <w:rFonts w:ascii="Calibri" w:hAnsi="Calibri" w:eastAsia="Calibri"/>
                <w:b w:val="0"/>
                <w:i w:val="0"/>
                <w:color w:val="1E293B"/>
                <w:sz w:val="17"/>
              </w:rPr>
              <w:t>100 questions</w:t>
            </w:r>
          </w:p>
        </w:tc>
        <w:tc>
          <w:tcPr>
            <w:tcW w:type="dxa" w:w="2268"/>
          </w:tcPr>
          <w:p>
            <w:pPr>
              <w:spacing w:after="50" w:before="50"/>
            </w:pPr>
            <w:r/>
            <w:r>
              <w:rPr>
                <w:rFonts w:ascii="Calibri" w:hAnsi="Calibri" w:eastAsia="Calibri"/>
                <w:b w:val="0"/>
                <w:i w:val="0"/>
                <w:color w:val="1E293B"/>
                <w:sz w:val="17"/>
              </w:rPr>
              <w:t>400 questions</w:t>
            </w:r>
          </w:p>
        </w:tc>
      </w:tr>
      <w:tr>
        <w:tc>
          <w:tcPr>
            <w:tcW w:type="dxa" w:w="3118"/>
            <w:shd w:fill="F8FAFC" w:val="clear"/>
          </w:tcPr>
          <w:p>
            <w:pPr>
              <w:spacing w:after="50" w:before="50"/>
            </w:pPr>
            <w:r/>
            <w:r>
              <w:rPr>
                <w:rFonts w:ascii="Calibri" w:hAnsi="Calibri" w:eastAsia="Calibri"/>
                <w:b w:val="0"/>
                <w:i w:val="0"/>
                <w:color w:val="1E293B"/>
                <w:sz w:val="17"/>
              </w:rPr>
              <w:t>Génération d'une Clé de barre</w:t>
            </w:r>
          </w:p>
        </w:tc>
        <w:tc>
          <w:tcPr>
            <w:tcW w:type="dxa" w:w="1984"/>
            <w:shd w:fill="F8FAFC" w:val="clear"/>
          </w:tcPr>
          <w:p>
            <w:pPr>
              <w:spacing w:after="50" w:before="50"/>
            </w:pPr>
            <w:r/>
            <w:r>
              <w:rPr>
                <w:rFonts w:ascii="Calibri" w:hAnsi="Calibri" w:eastAsia="Calibri"/>
                <w:b w:val="0"/>
                <w:i w:val="0"/>
                <w:color w:val="1E293B"/>
                <w:sz w:val="17"/>
              </w:rPr>
              <w:t>8 crédits</w:t>
            </w:r>
          </w:p>
        </w:tc>
        <w:tc>
          <w:tcPr>
            <w:tcW w:type="dxa" w:w="2268"/>
            <w:shd w:fill="F8FAFC" w:val="clear"/>
          </w:tcPr>
          <w:p>
            <w:pPr>
              <w:spacing w:after="50" w:before="50"/>
            </w:pPr>
            <w:r/>
            <w:r>
              <w:rPr>
                <w:rFonts w:ascii="Calibri" w:hAnsi="Calibri" w:eastAsia="Calibri"/>
                <w:b w:val="0"/>
                <w:i w:val="0"/>
                <w:color w:val="1E293B"/>
                <w:sz w:val="17"/>
              </w:rPr>
              <w:t>10 fiches d'audience</w:t>
            </w:r>
          </w:p>
        </w:tc>
        <w:tc>
          <w:tcPr>
            <w:tcW w:type="dxa" w:w="2268"/>
            <w:shd w:fill="F8FAFC" w:val="clear"/>
          </w:tcPr>
          <w:p>
            <w:pPr>
              <w:spacing w:after="50" w:before="50"/>
            </w:pPr>
            <w:r/>
            <w:r>
              <w:rPr>
                <w:rFonts w:ascii="Calibri" w:hAnsi="Calibri" w:eastAsia="Calibri"/>
                <w:b w:val="0"/>
                <w:i w:val="0"/>
                <w:color w:val="1E293B"/>
                <w:sz w:val="17"/>
              </w:rPr>
              <w:t>50 fiches d'audience</w:t>
            </w:r>
          </w:p>
        </w:tc>
      </w:tr>
    </w:tbl>
    <w:p>
      <w:pPr>
        <w:spacing w:after="40"/>
      </w:pPr>
    </w:p>
    <w:p>
      <w:pPr>
        <w:pStyle w:val="Heading2"/>
        <w:keepNext/>
      </w:pPr>
      <w:r>
        <w:rPr>
          <w:rFonts w:ascii="Calibri" w:hAnsi="Calibri"/>
          <w:b/>
          <w:color w:val="0B1A4D"/>
          <w:sz w:val="24"/>
        </w:rPr>
        <w:t>C2. Fonctionnement des essais gratuits plafonnés</w:t>
      </w:r>
    </w:p>
    <w:p>
      <w:pPr>
        <w:spacing w:after="100" w:line="240" w:lineRule="auto"/>
      </w:pPr>
      <w:r>
        <w:rPr>
          <w:rFonts w:ascii="Calibri" w:hAnsi="Calibri" w:eastAsia="Calibri"/>
          <w:b w:val="0"/>
          <w:i w:val="0"/>
          <w:color w:val="1E293B"/>
          <w:sz w:val="20"/>
        </w:rPr>
        <w:t>Afin de protéger la plateforme contre les abus tout en permettant aux avocats d'évaluer la solution en conditions réelles, les périodes d'essai gratuit sur les forfaits Solo (14 jours) et Cabinet (30 jours) appliquent un quota calibré :</w:t>
      </w:r>
    </w:p>
    <w:tbl>
      <w:tblPr>
        <w:tblStyle w:val="TableGrid"/>
        <w:tblW w:type="auto" w:w="0"/>
        <w:tblLayout w:type="fixed"/>
        <w:tblLook w:firstColumn="1" w:firstRow="1" w:lastColumn="0" w:lastRow="0" w:noHBand="0" w:noVBand="1" w:val="04A0"/>
      </w:tblPr>
      <w:tblGrid>
        <w:gridCol w:w="2040"/>
        <w:gridCol w:w="2040"/>
        <w:gridCol w:w="2040"/>
        <w:gridCol w:w="2040"/>
        <w:gridCol w:w="2040"/>
      </w:tblGrid>
      <w:tr>
        <w:tc>
          <w:tcPr>
            <w:tcW w:type="dxa" w:w="1701"/>
            <w:shd w:fill="0B1A4D" w:val="clear"/>
          </w:tcPr>
          <w:p>
            <w:pPr>
              <w:spacing w:after="60" w:before="60"/>
            </w:pPr>
            <w:r/>
            <w:r>
              <w:rPr>
                <w:rFonts w:ascii="Calibri" w:hAnsi="Calibri" w:eastAsia="Calibri"/>
                <w:b/>
                <w:i w:val="0"/>
                <w:color w:val="FFFFFF"/>
                <w:sz w:val="17"/>
              </w:rPr>
              <w:t>Plan souscrit</w:t>
            </w:r>
          </w:p>
        </w:tc>
        <w:tc>
          <w:tcPr>
            <w:tcW w:type="dxa" w:w="1417"/>
            <w:shd w:fill="0B1A4D" w:val="clear"/>
          </w:tcPr>
          <w:p>
            <w:pPr>
              <w:spacing w:after="60" w:before="60"/>
            </w:pPr>
            <w:r/>
            <w:r>
              <w:rPr>
                <w:rFonts w:ascii="Calibri" w:hAnsi="Calibri" w:eastAsia="Calibri"/>
                <w:b/>
                <w:i w:val="0"/>
                <w:color w:val="FFFFFF"/>
                <w:sz w:val="17"/>
              </w:rPr>
              <w:t>Durée d'essai</w:t>
            </w:r>
          </w:p>
        </w:tc>
        <w:tc>
          <w:tcPr>
            <w:tcW w:type="dxa" w:w="1984"/>
            <w:shd w:fill="0B1A4D" w:val="clear"/>
          </w:tcPr>
          <w:p>
            <w:pPr>
              <w:spacing w:after="60" w:before="60"/>
            </w:pPr>
            <w:r/>
            <w:r>
              <w:rPr>
                <w:rFonts w:ascii="Calibri" w:hAnsi="Calibri" w:eastAsia="Calibri"/>
                <w:b/>
                <w:i w:val="0"/>
                <w:color w:val="FFFFFF"/>
                <w:sz w:val="17"/>
              </w:rPr>
              <w:t>Crédits alloués en essai</w:t>
            </w:r>
          </w:p>
        </w:tc>
        <w:tc>
          <w:tcPr>
            <w:tcW w:type="dxa" w:w="1984"/>
            <w:shd w:fill="0B1A4D" w:val="clear"/>
          </w:tcPr>
          <w:p>
            <w:pPr>
              <w:spacing w:after="60" w:before="60"/>
            </w:pPr>
            <w:r/>
            <w:r>
              <w:rPr>
                <w:rFonts w:ascii="Calibri" w:hAnsi="Calibri" w:eastAsia="Calibri"/>
                <w:b/>
                <w:i w:val="0"/>
                <w:color w:val="FFFFFF"/>
                <w:sz w:val="17"/>
              </w:rPr>
              <w:t>Plaidoiries en essai</w:t>
            </w:r>
          </w:p>
        </w:tc>
        <w:tc>
          <w:tcPr>
            <w:tcW w:type="dxa" w:w="2551"/>
            <w:shd w:fill="0B1A4D" w:val="clear"/>
          </w:tcPr>
          <w:p>
            <w:pPr>
              <w:spacing w:after="60" w:before="60"/>
            </w:pPr>
            <w:r/>
            <w:r>
              <w:rPr>
                <w:rFonts w:ascii="Calibri" w:hAnsi="Calibri" w:eastAsia="Calibri"/>
                <w:b/>
                <w:i w:val="0"/>
                <w:color w:val="FFFFFF"/>
                <w:sz w:val="17"/>
              </w:rPr>
              <w:t>Volume à l'activation payante</w:t>
            </w:r>
          </w:p>
        </w:tc>
      </w:tr>
      <w:tr>
        <w:tc>
          <w:tcPr>
            <w:tcW w:type="dxa" w:w="1701"/>
          </w:tcPr>
          <w:p>
            <w:pPr>
              <w:spacing w:after="50" w:before="50"/>
            </w:pPr>
            <w:r/>
            <w:r>
              <w:rPr>
                <w:rFonts w:ascii="Calibri" w:hAnsi="Calibri" w:eastAsia="Calibri"/>
                <w:b w:val="0"/>
                <w:i w:val="0"/>
                <w:color w:val="1E293B"/>
                <w:sz w:val="17"/>
              </w:rPr>
              <w:t>Solo</w:t>
            </w:r>
          </w:p>
        </w:tc>
        <w:tc>
          <w:tcPr>
            <w:tcW w:type="dxa" w:w="1417"/>
          </w:tcPr>
          <w:p>
            <w:pPr>
              <w:spacing w:after="50" w:before="50"/>
            </w:pPr>
            <w:r/>
            <w:r>
              <w:rPr>
                <w:rFonts w:ascii="Calibri" w:hAnsi="Calibri" w:eastAsia="Calibri"/>
                <w:b w:val="0"/>
                <w:i w:val="0"/>
                <w:color w:val="1E293B"/>
                <w:sz w:val="17"/>
              </w:rPr>
              <w:t>14 jours</w:t>
            </w:r>
          </w:p>
        </w:tc>
        <w:tc>
          <w:tcPr>
            <w:tcW w:type="dxa" w:w="1984"/>
          </w:tcPr>
          <w:p>
            <w:pPr>
              <w:spacing w:after="50" w:before="50"/>
            </w:pPr>
            <w:r/>
            <w:r>
              <w:rPr>
                <w:rFonts w:ascii="Calibri" w:hAnsi="Calibri" w:eastAsia="Calibri"/>
                <w:b w:val="0"/>
                <w:i w:val="0"/>
                <w:color w:val="1E293B"/>
                <w:sz w:val="17"/>
              </w:rPr>
              <w:t>400 crédits IA</w:t>
            </w:r>
          </w:p>
        </w:tc>
        <w:tc>
          <w:tcPr>
            <w:tcW w:type="dxa" w:w="1984"/>
          </w:tcPr>
          <w:p>
            <w:pPr>
              <w:spacing w:after="50" w:before="50"/>
            </w:pPr>
            <w:r/>
            <w:r>
              <w:rPr>
                <w:rFonts w:ascii="Calibri" w:hAnsi="Calibri" w:eastAsia="Calibri"/>
                <w:b w:val="0"/>
                <w:i w:val="0"/>
                <w:color w:val="1E293B"/>
                <w:sz w:val="17"/>
              </w:rPr>
              <w:t>25 plaidoiries</w:t>
            </w:r>
          </w:p>
        </w:tc>
        <w:tc>
          <w:tcPr>
            <w:tcW w:type="dxa" w:w="2551"/>
          </w:tcPr>
          <w:p>
            <w:pPr>
              <w:spacing w:after="50" w:before="50"/>
            </w:pPr>
            <w:r/>
            <w:r>
              <w:rPr>
                <w:rFonts w:ascii="Calibri" w:hAnsi="Calibri" w:eastAsia="Calibri"/>
                <w:b w:val="0"/>
                <w:i w:val="0"/>
                <w:color w:val="1E293B"/>
                <w:sz w:val="17"/>
              </w:rPr>
              <w:t>600 crédits · 35 plaidoiries / mois</w:t>
            </w:r>
          </w:p>
        </w:tc>
      </w:tr>
      <w:tr>
        <w:tc>
          <w:tcPr>
            <w:tcW w:type="dxa" w:w="1701"/>
            <w:shd w:fill="F8FAFC" w:val="clear"/>
          </w:tcPr>
          <w:p>
            <w:pPr>
              <w:spacing w:after="50" w:before="50"/>
            </w:pPr>
            <w:r/>
            <w:r>
              <w:rPr>
                <w:rFonts w:ascii="Calibri" w:hAnsi="Calibri" w:eastAsia="Calibri"/>
                <w:b w:val="0"/>
                <w:i w:val="0"/>
                <w:color w:val="1E293B"/>
                <w:sz w:val="17"/>
              </w:rPr>
              <w:t>Cabinet ★</w:t>
            </w:r>
          </w:p>
        </w:tc>
        <w:tc>
          <w:tcPr>
            <w:tcW w:type="dxa" w:w="1417"/>
            <w:shd w:fill="F8FAFC" w:val="clear"/>
          </w:tcPr>
          <w:p>
            <w:pPr>
              <w:spacing w:after="50" w:before="50"/>
            </w:pPr>
            <w:r/>
            <w:r>
              <w:rPr>
                <w:rFonts w:ascii="Calibri" w:hAnsi="Calibri" w:eastAsia="Calibri"/>
                <w:b w:val="0"/>
                <w:i w:val="0"/>
                <w:color w:val="1E293B"/>
                <w:sz w:val="17"/>
              </w:rPr>
              <w:t>30 jours</w:t>
            </w:r>
          </w:p>
        </w:tc>
        <w:tc>
          <w:tcPr>
            <w:tcW w:type="dxa" w:w="1984"/>
            <w:shd w:fill="F8FAFC" w:val="clear"/>
          </w:tcPr>
          <w:p>
            <w:pPr>
              <w:spacing w:after="50" w:before="50"/>
            </w:pPr>
            <w:r/>
            <w:r>
              <w:rPr>
                <w:rFonts w:ascii="Calibri" w:hAnsi="Calibri" w:eastAsia="Calibri"/>
                <w:b w:val="0"/>
                <w:i w:val="0"/>
                <w:color w:val="1E293B"/>
                <w:sz w:val="17"/>
              </w:rPr>
              <w:t>1 000 crédits IA</w:t>
            </w:r>
          </w:p>
        </w:tc>
        <w:tc>
          <w:tcPr>
            <w:tcW w:type="dxa" w:w="1984"/>
            <w:shd w:fill="F8FAFC" w:val="clear"/>
          </w:tcPr>
          <w:p>
            <w:pPr>
              <w:spacing w:after="50" w:before="50"/>
            </w:pPr>
            <w:r/>
            <w:r>
              <w:rPr>
                <w:rFonts w:ascii="Calibri" w:hAnsi="Calibri" w:eastAsia="Calibri"/>
                <w:b w:val="0"/>
                <w:i w:val="0"/>
                <w:color w:val="1E293B"/>
                <w:sz w:val="17"/>
              </w:rPr>
              <w:t>60 plaidoiries</w:t>
            </w:r>
          </w:p>
        </w:tc>
        <w:tc>
          <w:tcPr>
            <w:tcW w:type="dxa" w:w="2551"/>
            <w:shd w:fill="F8FAFC" w:val="clear"/>
          </w:tcPr>
          <w:p>
            <w:pPr>
              <w:spacing w:after="50" w:before="50"/>
            </w:pPr>
            <w:r/>
            <w:r>
              <w:rPr>
                <w:rFonts w:ascii="Calibri" w:hAnsi="Calibri" w:eastAsia="Calibri"/>
                <w:b w:val="0"/>
                <w:i w:val="0"/>
                <w:color w:val="1E293B"/>
                <w:sz w:val="17"/>
              </w:rPr>
              <w:t>2 000 crédits · 120 plaidoiries / mois</w:t>
            </w:r>
          </w:p>
        </w:tc>
      </w:tr>
    </w:tbl>
    <w:p>
      <w:pPr>
        <w:spacing w:after="40"/>
      </w:pPr>
    </w:p>
    <w:p>
      <w:pPr>
        <w:pStyle w:val="ListBullet"/>
        <w:spacing w:after="50" w:line="240" w:lineRule="auto"/>
      </w:pPr>
      <w:r>
        <w:rPr>
          <w:rFonts w:ascii="Calibri" w:hAnsi="Calibri" w:eastAsia="Calibri"/>
          <w:b w:val="0"/>
          <w:i w:val="0"/>
          <w:color w:val="1E293B"/>
          <w:sz w:val="19"/>
        </w:rPr>
        <w:t>Enregistrement de carte bancaire à 0 MAD : valide l'identité du cabinet sans débit immédiat.</w:t>
      </w:r>
    </w:p>
    <w:p>
      <w:pPr>
        <w:pStyle w:val="ListBullet"/>
        <w:spacing w:after="50" w:line="240" w:lineRule="auto"/>
      </w:pPr>
      <w:r>
        <w:rPr>
          <w:rFonts w:ascii="Calibri" w:hAnsi="Calibri" w:eastAsia="Calibri"/>
          <w:b w:val="0"/>
          <w:i w:val="0"/>
          <w:color w:val="1E293B"/>
          <w:sz w:val="19"/>
        </w:rPr>
        <w:t>Plafond journalier de sécurité (fair-use) : prévient la consommation automatisée massive.</w:t>
      </w:r>
    </w:p>
    <w:p>
      <w:pPr>
        <w:pStyle w:val="ListBullet"/>
        <w:spacing w:after="50" w:line="240" w:lineRule="auto"/>
      </w:pPr>
      <w:r>
        <w:rPr>
          <w:rFonts w:ascii="Calibri" w:hAnsi="Calibri" w:eastAsia="Calibri"/>
          <w:b w:val="0"/>
          <w:i w:val="0"/>
          <w:color w:val="1E293B"/>
          <w:sz w:val="19"/>
        </w:rPr>
        <w:t>Résiliation libre en un clic depuis l'interface avant la fin de la période d'essai sans le moindre prélèvement.</w:t>
      </w:r>
    </w:p>
    <w:p>
      <w:pPr>
        <w:pStyle w:val="Heading2"/>
        <w:keepNext/>
      </w:pPr>
      <w:r>
        <w:rPr>
          <w:rFonts w:ascii="Calibri" w:hAnsi="Calibri"/>
          <w:b/>
          <w:color w:val="0B1A4D"/>
          <w:sz w:val="24"/>
        </w:rPr>
        <w:t>C3. Packs prépayés, PAYG et sièges supplémentaires</w:t>
      </w:r>
    </w:p>
    <w:p>
      <w:pPr>
        <w:spacing w:after="100" w:line="240" w:lineRule="auto"/>
      </w:pPr>
      <w:r>
        <w:rPr>
          <w:rFonts w:ascii="Calibri" w:hAnsi="Calibri" w:eastAsia="Calibri"/>
          <w:b/>
          <w:i w:val="0"/>
          <w:color w:val="1E293B"/>
          <w:sz w:val="20"/>
        </w:rPr>
        <w:t>Mécanismes de flexibilité financière pour les périodes de forte activité :</w:t>
      </w:r>
    </w:p>
    <w:p>
      <w:pPr>
        <w:pStyle w:val="ListBullet"/>
        <w:spacing w:after="50" w:line="240" w:lineRule="auto"/>
      </w:pPr>
      <w:r>
        <w:rPr>
          <w:rFonts w:ascii="Calibri" w:hAnsi="Calibri" w:eastAsia="Calibri"/>
          <w:b w:val="0"/>
          <w:i w:val="0"/>
          <w:color w:val="1E293B"/>
          <w:sz w:val="19"/>
        </w:rPr>
        <w:t>Packs de recharges ponctuelles : packs de 100, 300 ou 500 crédits IA valables 12 mois. Disponibles uniquement pour les abonnements actifs payants (masqués pendant la période d'essai).</w:t>
      </w:r>
    </w:p>
    <w:p>
      <w:pPr>
        <w:pStyle w:val="ListBullet"/>
        <w:spacing w:after="50" w:line="240" w:lineRule="auto"/>
      </w:pPr>
      <w:r>
        <w:rPr>
          <w:rFonts w:ascii="Calibri" w:hAnsi="Calibri" w:eastAsia="Calibri"/>
          <w:b w:val="0"/>
          <w:i w:val="0"/>
          <w:color w:val="1E293B"/>
          <w:sz w:val="19"/>
        </w:rPr>
        <w:t>Ordre de consommation intelligent (FIFO) : le système consomme prioritairement le forfait mensuel inclus, puis les recharges de packs, et enfin l'option PAYG si activée.</w:t>
      </w:r>
    </w:p>
    <w:p>
      <w:pPr>
        <w:pStyle w:val="ListBullet"/>
        <w:spacing w:after="50" w:line="240" w:lineRule="auto"/>
      </w:pPr>
      <w:r>
        <w:rPr>
          <w:rFonts w:ascii="Calibri" w:hAnsi="Calibri" w:eastAsia="Calibri"/>
          <w:b w:val="0"/>
          <w:i w:val="0"/>
          <w:color w:val="1E293B"/>
          <w:sz w:val="19"/>
        </w:rPr>
        <w:t>Paiement à l'usage (PAYG) : option facultative activable par l'admin cabinet pour autoriser les dépassements mineurs à ~0,25 MAD par crédit.</w:t>
      </w:r>
    </w:p>
    <w:p>
      <w:pPr>
        <w:pStyle w:val="ListBullet"/>
        <w:spacing w:after="50" w:line="240" w:lineRule="auto"/>
      </w:pPr>
      <w:r>
        <w:rPr>
          <w:rFonts w:ascii="Calibri" w:hAnsi="Calibri" w:eastAsia="Calibri"/>
          <w:b w:val="0"/>
          <w:i w:val="0"/>
          <w:color w:val="1E293B"/>
          <w:sz w:val="19"/>
        </w:rPr>
        <w:t>Sièges collaborateurs additionnels : 99 MAD/mois par avocat supplémentaire pour le plan Cabinet.</w:t>
      </w:r>
    </w:p>
    <w:p>
      <w:pPr>
        <w:pStyle w:val="Heading2"/>
        <w:keepNext/>
      </w:pPr>
      <w:r>
        <w:rPr>
          <w:rFonts w:ascii="Calibri" w:hAnsi="Calibri"/>
          <w:b/>
          <w:color w:val="0B1A4D"/>
          <w:sz w:val="24"/>
        </w:rPr>
        <w:t>C4. Programme de parrainage confraternel et factures</w:t>
      </w:r>
    </w:p>
    <w:p>
      <w:pPr>
        <w:pStyle w:val="ListBullet"/>
        <w:spacing w:after="50" w:line="240" w:lineRule="auto"/>
      </w:pPr>
      <w:r>
        <w:rPr>
          <w:rFonts w:ascii="Calibri" w:hAnsi="Calibri" w:eastAsia="Calibri"/>
          <w:b w:val="0"/>
          <w:i w:val="0"/>
          <w:color w:val="1E293B"/>
          <w:sz w:val="19"/>
        </w:rPr>
        <w:t>Code parrainage unique : chaque cabinet dispose d'un code du type LH-XXXX ou d'un lien d'invitation direct.</w:t>
      </w:r>
    </w:p>
    <w:p>
      <w:pPr>
        <w:pStyle w:val="ListBullet"/>
        <w:spacing w:after="50" w:line="240" w:lineRule="auto"/>
      </w:pPr>
      <w:r>
        <w:rPr>
          <w:rFonts w:ascii="Calibri" w:hAnsi="Calibri" w:eastAsia="Calibri"/>
          <w:b w:val="0"/>
          <w:i w:val="0"/>
          <w:color w:val="1E293B"/>
          <w:sz w:val="19"/>
        </w:rPr>
        <w:t>Avantages réciproques : +14 jours d'essai offerts pour le cabinet confrère filleul ; +30 jours d'abonnement offerts pour le cabinet parrain dès la première mensualité payée par le filleul.</w:t>
      </w:r>
    </w:p>
    <w:p>
      <w:pPr>
        <w:pStyle w:val="ListBullet"/>
        <w:spacing w:after="50" w:line="240" w:lineRule="auto"/>
      </w:pPr>
      <w:r>
        <w:rPr>
          <w:rFonts w:ascii="Calibri" w:hAnsi="Calibri" w:eastAsia="Calibri"/>
          <w:b w:val="0"/>
          <w:i w:val="0"/>
          <w:color w:val="1E293B"/>
          <w:sz w:val="19"/>
        </w:rPr>
        <w:t>Mes factures (/settings) : accès direct à toutes les factures dématérialisées conformes, téléchargeables au format PDF pour la comptabilité du cabinet.</w:t>
      </w:r>
    </w:p>
    <w:p>
      <w:pPr>
        <w:pStyle w:val="Heading2"/>
        <w:keepNext/>
      </w:pPr>
      <w:r>
        <w:rPr>
          <w:rFonts w:ascii="Calibri" w:hAnsi="Calibri"/>
          <w:b/>
          <w:color w:val="0B1A4D"/>
          <w:sz w:val="24"/>
        </w:rPr>
        <w:t>C5. Offre Entreprise &amp; préparation au paiement CMI / PayZone</w:t>
      </w:r>
    </w:p>
    <w:p>
      <w:pPr>
        <w:spacing w:after="100" w:line="240" w:lineRule="auto"/>
      </w:pPr>
      <w:r>
        <w:rPr>
          <w:rFonts w:ascii="Calibri" w:hAnsi="Calibri" w:eastAsia="Calibri"/>
          <w:b/>
          <w:i w:val="0"/>
          <w:color w:val="1E293B"/>
          <w:sz w:val="20"/>
        </w:rPr>
        <w:t>Qualification de l'offre Entreprise :</w:t>
      </w:r>
    </w:p>
    <w:p>
      <w:pPr>
        <w:spacing w:after="100" w:line="240" w:lineRule="auto"/>
      </w:pPr>
      <w:r>
        <w:rPr>
          <w:rFonts w:ascii="Calibri" w:hAnsi="Calibri" w:eastAsia="Calibri"/>
          <w:b w:val="0"/>
          <w:i w:val="0"/>
          <w:color w:val="1E293B"/>
          <w:sz w:val="20"/>
        </w:rPr>
        <w:t>En raison du volume très important de ressources allouées (15 avocats, 5 000 crédits IA), l'offre Entreprise ne fait pas l'objet d'une souscription directe instantanée. Le bouton dirige vers le formulaire de contact dédié (/commercial?intent=enterprise). Un conseiller WebVoice prend contact sous 24 à 48 heures pour dimensionner le déploiement avant attribution par l'administrateur plateforme.</w:t>
      </w:r>
    </w:p>
    <w:p>
      <w:pPr>
        <w:spacing w:after="100" w:line="240" w:lineRule="auto"/>
      </w:pPr>
      <w:r>
        <w:rPr>
          <w:rFonts w:ascii="Calibri" w:hAnsi="Calibri" w:eastAsia="Calibri"/>
          <w:b/>
          <w:i w:val="0"/>
          <w:color w:val="1E293B"/>
          <w:sz w:val="20"/>
        </w:rPr>
        <w:t>État de l'intégration du paiement en ligne :</w:t>
      </w:r>
    </w:p>
    <w:p>
      <w:pPr>
        <w:pStyle w:val="ListBullet"/>
        <w:spacing w:after="50" w:line="240" w:lineRule="auto"/>
      </w:pPr>
      <w:r>
        <w:rPr>
          <w:rFonts w:ascii="Calibri" w:hAnsi="Calibri" w:eastAsia="Calibri"/>
          <w:b w:val="0"/>
          <w:i w:val="0"/>
          <w:color w:val="1E293B"/>
          <w:sz w:val="19"/>
        </w:rPr>
        <w:t>L'infrastructure technique complète est déployée et opérationnelle : moteur d'abonnement, calcul des proratas, gestion des reçus fiscaux et webhooks de confirmation.</w:t>
      </w:r>
    </w:p>
    <w:p>
      <w:pPr>
        <w:pStyle w:val="ListBullet"/>
        <w:spacing w:after="50" w:line="240" w:lineRule="auto"/>
      </w:pPr>
      <w:r>
        <w:rPr>
          <w:rFonts w:ascii="Calibri" w:hAnsi="Calibri" w:eastAsia="Calibri"/>
          <w:b w:val="0"/>
          <w:i w:val="0"/>
          <w:color w:val="1E293B"/>
          <w:sz w:val="19"/>
        </w:rPr>
        <w:t>L'encaissement effectif par carte bancaire marocaine sera activé dès finalisation des formalités d'homologation auprès du CMI (Centre Monétique Interbancaire) et de PayZone.</w:t>
      </w:r>
    </w:p>
    <w:p>
      <w:pPr>
        <w:pStyle w:val="Heading1"/>
        <w:keepNext/>
      </w:pPr>
      <w:r>
        <w:rPr>
          <w:rFonts w:ascii="Calibri" w:hAnsi="Calibri"/>
          <w:b/>
          <w:color w:val="0B1A4D"/>
          <w:sz w:val="30"/>
        </w:rPr>
        <w:t>PARTIE D — Scénarios de test pas-à-pas (Grille d'évaluation)</w:t>
      </w:r>
    </w:p>
    <w:p>
      <w:pPr>
        <w:spacing w:after="100" w:line="240" w:lineRule="auto"/>
      </w:pPr>
      <w:r>
        <w:rPr>
          <w:rFonts w:ascii="Calibri" w:hAnsi="Calibri" w:eastAsia="Calibri"/>
          <w:b w:val="0"/>
          <w:i w:val="0"/>
          <w:color w:val="1E293B"/>
          <w:sz w:val="20"/>
        </w:rPr>
        <w:t>Cette grille permet aux évaluateurs de valider méthodiquement le fonctionnement de LexHub en production. Cochez chaque case lors du déroulement de vos essais :</w:t>
      </w:r>
    </w:p>
    <w:p>
      <w:pPr>
        <w:pStyle w:val="Heading2"/>
        <w:keepNext/>
      </w:pPr>
      <w:r>
        <w:rPr>
          <w:rFonts w:ascii="Calibri" w:hAnsi="Calibri"/>
          <w:b/>
          <w:color w:val="0B1A4D"/>
          <w:sz w:val="24"/>
        </w:rPr>
        <w:t>Scénario 1 — Authentification &amp; Navigation générale</w:t>
      </w:r>
    </w:p>
    <w:p>
      <w:pPr>
        <w:pStyle w:val="ListBullet"/>
        <w:spacing w:after="50" w:line="240" w:lineRule="auto"/>
      </w:pPr>
      <w:r>
        <w:rPr>
          <w:rFonts w:ascii="Calibri" w:hAnsi="Calibri" w:eastAsia="Calibri"/>
          <w:b w:val="0"/>
          <w:i w:val="0"/>
          <w:color w:val="1E293B"/>
          <w:sz w:val="19"/>
        </w:rPr>
        <w:t>□ Connexion réussie avec demo@lexhub.space / LexHub2026! sur https://lexhub.space/login.</w:t>
      </w:r>
    </w:p>
    <w:p>
      <w:pPr>
        <w:pStyle w:val="ListBullet"/>
        <w:spacing w:after="50" w:line="240" w:lineRule="auto"/>
      </w:pPr>
      <w:r>
        <w:rPr>
          <w:rFonts w:ascii="Calibri" w:hAnsi="Calibri" w:eastAsia="Calibri"/>
          <w:b w:val="0"/>
          <w:i w:val="0"/>
          <w:color w:val="1E293B"/>
          <w:sz w:val="19"/>
        </w:rPr>
        <w:t>□ Vérification du Dock latéral gauche : accès aux 7 sections principales.</w:t>
      </w:r>
    </w:p>
    <w:p>
      <w:pPr>
        <w:pStyle w:val="ListBullet"/>
        <w:spacing w:after="50" w:line="240" w:lineRule="auto"/>
      </w:pPr>
      <w:r>
        <w:rPr>
          <w:rFonts w:ascii="Calibri" w:hAnsi="Calibri" w:eastAsia="Calibri"/>
          <w:b w:val="0"/>
          <w:i w:val="0"/>
          <w:color w:val="1E293B"/>
          <w:sz w:val="19"/>
        </w:rPr>
        <w:t>□ Vérification de l'ergonomie : présence d'un seul bouton de déconnexion dans le menu supérieur droit.</w:t>
      </w:r>
    </w:p>
    <w:p>
      <w:pPr>
        <w:pStyle w:val="ListBullet"/>
        <w:spacing w:after="50" w:line="240" w:lineRule="auto"/>
      </w:pPr>
      <w:r>
        <w:rPr>
          <w:rFonts w:ascii="Calibri" w:hAnsi="Calibri" w:eastAsia="Calibri"/>
          <w:b w:val="0"/>
          <w:i w:val="0"/>
          <w:color w:val="1E293B"/>
          <w:sz w:val="19"/>
        </w:rPr>
        <w:t>□ Test du sélecteur de langue : basculement fluide entre le Français et l'Arabe.</w:t>
      </w:r>
    </w:p>
    <w:p>
      <w:pPr>
        <w:pStyle w:val="Heading2"/>
        <w:keepNext/>
      </w:pPr>
      <w:r>
        <w:rPr>
          <w:rFonts w:ascii="Calibri" w:hAnsi="Calibri"/>
          <w:b/>
          <w:color w:val="0B1A4D"/>
          <w:sz w:val="24"/>
        </w:rPr>
        <w:t>Scénario 2 — Création de dossier &amp; Indexation de pièces</w:t>
      </w:r>
    </w:p>
    <w:p>
      <w:pPr>
        <w:pStyle w:val="ListBullet"/>
        <w:spacing w:after="50" w:line="240" w:lineRule="auto"/>
      </w:pPr>
      <w:r>
        <w:rPr>
          <w:rFonts w:ascii="Calibri" w:hAnsi="Calibri" w:eastAsia="Calibri"/>
          <w:b w:val="0"/>
          <w:i w:val="0"/>
          <w:color w:val="1E293B"/>
          <w:sz w:val="19"/>
        </w:rPr>
        <w:t>□ Menu Dossiers → « Nouveau dossier » : saisie d'un client, d'une juridiction et d'une matière juridique.</w:t>
      </w:r>
    </w:p>
    <w:p>
      <w:pPr>
        <w:pStyle w:val="ListBullet"/>
        <w:spacing w:after="50" w:line="240" w:lineRule="auto"/>
      </w:pPr>
      <w:r>
        <w:rPr>
          <w:rFonts w:ascii="Calibri" w:hAnsi="Calibri" w:eastAsia="Calibri"/>
          <w:b w:val="0"/>
          <w:i w:val="0"/>
          <w:color w:val="1E293B"/>
          <w:sz w:val="19"/>
        </w:rPr>
        <w:t>□ Dépôt d'un fichier PDF ou Word probatoire : suivi de la barre de progression d'analyse.</w:t>
      </w:r>
    </w:p>
    <w:p>
      <w:pPr>
        <w:pStyle w:val="ListBullet"/>
        <w:spacing w:after="50" w:line="240" w:lineRule="auto"/>
      </w:pPr>
      <w:r>
        <w:rPr>
          <w:rFonts w:ascii="Calibri" w:hAnsi="Calibri" w:eastAsia="Calibri"/>
          <w:b w:val="0"/>
          <w:i w:val="0"/>
          <w:color w:val="1E293B"/>
          <w:sz w:val="19"/>
        </w:rPr>
        <w:t>□ Vérification de l'état d'indexation : score OCR et aperçu du document sans erreur serveur.</w:t>
      </w:r>
    </w:p>
    <w:p>
      <w:pPr>
        <w:pStyle w:val="ListBullet"/>
        <w:spacing w:after="50" w:line="240" w:lineRule="auto"/>
      </w:pPr>
      <w:r>
        <w:rPr>
          <w:rFonts w:ascii="Calibri" w:hAnsi="Calibri" w:eastAsia="Calibri"/>
          <w:b w:val="0"/>
          <w:i w:val="0"/>
          <w:color w:val="1E293B"/>
          <w:sz w:val="19"/>
        </w:rPr>
        <w:t>□ Renseignement des métadonnées probatoires : N° de pièce, Type, Producteur et Référence d'audience.</w:t>
      </w:r>
    </w:p>
    <w:p>
      <w:pPr>
        <w:pStyle w:val="Heading2"/>
        <w:keepNext/>
      </w:pPr>
      <w:r>
        <w:rPr>
          <w:rFonts w:ascii="Calibri" w:hAnsi="Calibri"/>
          <w:b/>
          <w:color w:val="0B1A4D"/>
          <w:sz w:val="24"/>
        </w:rPr>
        <w:t>Scénario 3 — Atelier de plaidoirie, Révision IA &amp; Export officiel</w:t>
      </w:r>
    </w:p>
    <w:p>
      <w:pPr>
        <w:pStyle w:val="ListBullet"/>
        <w:spacing w:after="50" w:line="240" w:lineRule="auto"/>
      </w:pPr>
      <w:r>
        <w:rPr>
          <w:rFonts w:ascii="Calibri" w:hAnsi="Calibri" w:eastAsia="Calibri"/>
          <w:b w:val="0"/>
          <w:i w:val="0"/>
          <w:color w:val="1E293B"/>
          <w:sz w:val="19"/>
        </w:rPr>
        <w:t>□ Menu Rédaction → « Nouvelle plaidoirie » : sélection du domaine Famille / Statut personnel ou Civil.</w:t>
      </w:r>
    </w:p>
    <w:p>
      <w:pPr>
        <w:pStyle w:val="ListBullet"/>
        <w:spacing w:after="50" w:line="240" w:lineRule="auto"/>
      </w:pPr>
      <w:r>
        <w:rPr>
          <w:rFonts w:ascii="Calibri" w:hAnsi="Calibri" w:eastAsia="Calibri"/>
          <w:b w:val="0"/>
          <w:i w:val="0"/>
          <w:color w:val="1E293B"/>
          <w:sz w:val="19"/>
        </w:rPr>
        <w:t>□ Liaison au dossier créé au Scénario 2 : affichage du rappel de bordereau.</w:t>
      </w:r>
    </w:p>
    <w:p>
      <w:pPr>
        <w:pStyle w:val="ListBullet"/>
        <w:spacing w:after="50" w:line="240" w:lineRule="auto"/>
      </w:pPr>
      <w:r>
        <w:rPr>
          <w:rFonts w:ascii="Calibri" w:hAnsi="Calibri" w:eastAsia="Calibri"/>
          <w:b w:val="0"/>
          <w:i w:val="0"/>
          <w:color w:val="1E293B"/>
          <w:sz w:val="19"/>
        </w:rPr>
        <w:t>□ Test vocal : enregistrement d'une phrase au microphone ou collage d'un texte modèle en arabe.</w:t>
      </w:r>
    </w:p>
    <w:p>
      <w:pPr>
        <w:pStyle w:val="ListBullet"/>
        <w:spacing w:after="50" w:line="240" w:lineRule="auto"/>
      </w:pPr>
      <w:r>
        <w:rPr>
          <w:rFonts w:ascii="Calibri" w:hAnsi="Calibri" w:eastAsia="Calibri"/>
          <w:b w:val="0"/>
          <w:i w:val="0"/>
          <w:color w:val="1E293B"/>
          <w:sz w:val="19"/>
        </w:rPr>
        <w:t>□ Action de l'Assistant IA : demande de complément sur les demandes subsidiaires ou les dépens.</w:t>
      </w:r>
    </w:p>
    <w:p>
      <w:pPr>
        <w:pStyle w:val="ListBullet"/>
        <w:spacing w:after="50" w:line="240" w:lineRule="auto"/>
      </w:pPr>
      <w:r>
        <w:rPr>
          <w:rFonts w:ascii="Calibri" w:hAnsi="Calibri" w:eastAsia="Calibri"/>
          <w:b w:val="0"/>
          <w:i w:val="0"/>
          <w:color w:val="1E293B"/>
          <w:sz w:val="19"/>
        </w:rPr>
        <w:t>□ Exportation officielle Word (.docx) : téléchargement immédiat du document de conclusions prêt pour l'audience (en-tête bilingue officiel, logo/armoiries royales centrés, typographie arabe Noto Naskh en sens RTL parfait, document 100 % éditable pour les annotations de l'avocat).</w:t>
      </w:r>
    </w:p>
    <w:p>
      <w:pPr>
        <w:pStyle w:val="ListBullet"/>
        <w:spacing w:after="50" w:line="240" w:lineRule="auto"/>
      </w:pPr>
      <w:r>
        <w:rPr>
          <w:rFonts w:ascii="Calibri" w:hAnsi="Calibri" w:eastAsia="Calibri"/>
          <w:b w:val="0"/>
          <w:i w:val="0"/>
          <w:color w:val="1E293B"/>
          <w:sz w:val="19"/>
        </w:rPr>
        <w:t>□ Standard unique d'audience : confirmation de l'unification exclusive sur le format Word (.docx), standard modifiable incontournable des juridictions du Royaume.</w:t>
      </w:r>
    </w:p>
    <w:p>
      <w:pPr>
        <w:pStyle w:val="ListBullet"/>
        <w:spacing w:after="50" w:line="240" w:lineRule="auto"/>
      </w:pPr>
      <w:r>
        <w:rPr>
          <w:rFonts w:ascii="Calibri" w:hAnsi="Calibri" w:eastAsia="Calibri"/>
          <w:b w:val="0"/>
          <w:i w:val="0"/>
          <w:color w:val="1E293B"/>
          <w:sz w:val="19"/>
        </w:rPr>
        <w:t>□ Vérification du cycle de vie : passage automatique de la plaidoirie au statut « Finalisée ».</w:t>
      </w:r>
    </w:p>
    <w:p>
      <w:pPr>
        <w:pStyle w:val="ListBullet"/>
        <w:spacing w:after="50" w:line="240" w:lineRule="auto"/>
      </w:pPr>
      <w:r>
        <w:rPr>
          <w:rFonts w:ascii="Calibri" w:hAnsi="Calibri" w:eastAsia="Calibri"/>
          <w:b w:val="0"/>
          <w:i w:val="0"/>
          <w:color w:val="1E293B"/>
          <w:sz w:val="19"/>
        </w:rPr>
        <w:t>□ Masquage des avertissements : confirmation de l'absence de bandeau 'infos manquantes' sur la prévisualisation finale.</w:t>
      </w:r>
    </w:p>
    <w:p>
      <w:pPr>
        <w:pStyle w:val="Heading2"/>
        <w:keepNext/>
      </w:pPr>
      <w:r>
        <w:rPr>
          <w:rFonts w:ascii="Calibri" w:hAnsi="Calibri"/>
          <w:b/>
          <w:color w:val="0B1A4D"/>
          <w:sz w:val="24"/>
        </w:rPr>
        <w:t>Scénario 4 — Fiche d'audience « Clé de barre »</w:t>
      </w:r>
    </w:p>
    <w:p>
      <w:pPr>
        <w:pStyle w:val="ListBullet"/>
        <w:spacing w:after="50" w:line="240" w:lineRule="auto"/>
      </w:pPr>
      <w:r>
        <w:rPr>
          <w:rFonts w:ascii="Calibri" w:hAnsi="Calibri" w:eastAsia="Calibri"/>
          <w:b w:val="0"/>
          <w:i w:val="0"/>
          <w:color w:val="1E293B"/>
          <w:sz w:val="19"/>
        </w:rPr>
        <w:t>□ Ouverture d'un dossier disposant de pièces indexées.</w:t>
      </w:r>
    </w:p>
    <w:p>
      <w:pPr>
        <w:pStyle w:val="ListBullet"/>
        <w:spacing w:after="50" w:line="240" w:lineRule="auto"/>
      </w:pPr>
      <w:r>
        <w:rPr>
          <w:rFonts w:ascii="Calibri" w:hAnsi="Calibri" w:eastAsia="Calibri"/>
          <w:b w:val="0"/>
          <w:i w:val="0"/>
          <w:color w:val="1E293B"/>
          <w:sz w:val="19"/>
        </w:rPr>
        <w:t>□ Clic sur « Clé de barre IA » : génération de la fiche d'audience synthétique.</w:t>
      </w:r>
    </w:p>
    <w:p>
      <w:pPr>
        <w:pStyle w:val="ListBullet"/>
        <w:spacing w:after="50" w:line="240" w:lineRule="auto"/>
      </w:pPr>
      <w:r>
        <w:rPr>
          <w:rFonts w:ascii="Calibri" w:hAnsi="Calibri" w:eastAsia="Calibri"/>
          <w:b w:val="0"/>
          <w:i w:val="0"/>
          <w:color w:val="1E293B"/>
          <w:sz w:val="19"/>
        </w:rPr>
        <w:t>□ Vérification de la structure : faits saillants, visas de droit marocain, demandes principales et points oraux.</w:t>
      </w:r>
    </w:p>
    <w:p>
      <w:pPr>
        <w:pStyle w:val="Heading2"/>
        <w:keepNext/>
      </w:pPr>
      <w:r>
        <w:rPr>
          <w:rFonts w:ascii="Calibri" w:hAnsi="Calibri"/>
          <w:b/>
          <w:color w:val="0B1A4D"/>
          <w:sz w:val="24"/>
        </w:rPr>
        <w:t>Scénario 5 — Contrôle d'accès &amp; Étanchéité des rôles</w:t>
      </w:r>
    </w:p>
    <w:p>
      <w:pPr>
        <w:pStyle w:val="ListBullet"/>
        <w:spacing w:after="50" w:line="240" w:lineRule="auto"/>
      </w:pPr>
      <w:r>
        <w:rPr>
          <w:rFonts w:ascii="Calibri" w:hAnsi="Calibri" w:eastAsia="Calibri"/>
          <w:b w:val="0"/>
          <w:i w:val="0"/>
          <w:color w:val="1E293B"/>
          <w:sz w:val="19"/>
        </w:rPr>
        <w:t>□ Connexion avocat (avocat@lexhub.space) : accès complet à la rédaction et aux dossiers ; absence d'accès à la souscription financière.</w:t>
      </w:r>
    </w:p>
    <w:p>
      <w:pPr>
        <w:pStyle w:val="ListBullet"/>
        <w:spacing w:after="50" w:line="240" w:lineRule="auto"/>
      </w:pPr>
      <w:r>
        <w:rPr>
          <w:rFonts w:ascii="Calibri" w:hAnsi="Calibri" w:eastAsia="Calibri"/>
          <w:b w:val="0"/>
          <w:i w:val="0"/>
          <w:color w:val="1E293B"/>
          <w:sz w:val="19"/>
        </w:rPr>
        <w:t>□ Connexion assistant (assistant@lexhub.space) : accès à la consultation et à l'indexation ; verrouillage de la rédaction lourde.</w:t>
      </w:r>
    </w:p>
    <w:p>
      <w:pPr>
        <w:pStyle w:val="ListBullet"/>
        <w:spacing w:after="50" w:line="240" w:lineRule="auto"/>
      </w:pPr>
      <w:r>
        <w:rPr>
          <w:rFonts w:ascii="Calibri" w:hAnsi="Calibri" w:eastAsia="Calibri"/>
          <w:b w:val="0"/>
          <w:i w:val="0"/>
          <w:color w:val="1E293B"/>
          <w:sz w:val="19"/>
        </w:rPr>
        <w:t>□ Connexion cabinet tiers (test@cabinet-rabat.ma) : étanchéité multi-tenant parfaite, aucun dossier du cabinet démo n'est visible.</w:t>
      </w:r>
    </w:p>
    <w:p>
      <w:pPr>
        <w:pStyle w:val="Heading2"/>
        <w:keepNext/>
      </w:pPr>
      <w:r>
        <w:rPr>
          <w:rFonts w:ascii="Calibri" w:hAnsi="Calibri"/>
          <w:b/>
          <w:color w:val="0B1A4D"/>
          <w:sz w:val="24"/>
        </w:rPr>
        <w:t>Scénario 6 — Gestion financière, Quotas &amp; Factures</w:t>
      </w:r>
    </w:p>
    <w:p>
      <w:pPr>
        <w:pStyle w:val="ListBullet"/>
        <w:spacing w:after="50" w:line="240" w:lineRule="auto"/>
      </w:pPr>
      <w:r>
        <w:rPr>
          <w:rFonts w:ascii="Calibri" w:hAnsi="Calibri" w:eastAsia="Calibri"/>
          <w:b w:val="0"/>
          <w:i w:val="0"/>
          <w:color w:val="1E293B"/>
          <w:sz w:val="19"/>
        </w:rPr>
        <w:t>□ Menu Paramètres → « Plan &amp; usage » : visualisation claire du plan courant, des plaidoiries consommées et des crédits restants.</w:t>
      </w:r>
    </w:p>
    <w:p>
      <w:pPr>
        <w:pStyle w:val="ListBullet"/>
        <w:spacing w:after="50" w:line="240" w:lineRule="auto"/>
      </w:pPr>
      <w:r>
        <w:rPr>
          <w:rFonts w:ascii="Calibri" w:hAnsi="Calibri" w:eastAsia="Calibri"/>
          <w:b w:val="0"/>
          <w:i w:val="0"/>
          <w:color w:val="1E293B"/>
          <w:sz w:val="19"/>
        </w:rPr>
        <w:t>□ Accès à « Mes factures » : consultation de la liste des reçus et factures d'abonnement au format PDF.</w:t>
      </w:r>
    </w:p>
    <w:p>
      <w:pPr>
        <w:pStyle w:val="ListBullet"/>
        <w:spacing w:after="50" w:line="240" w:lineRule="auto"/>
      </w:pPr>
      <w:r>
        <w:rPr>
          <w:rFonts w:ascii="Calibri" w:hAnsi="Calibri" w:eastAsia="Calibri"/>
          <w:b w:val="0"/>
          <w:i w:val="0"/>
          <w:color w:val="1E293B"/>
          <w:sz w:val="19"/>
        </w:rPr>
        <w:t>□ Vérification anti-abus : masquage des offres de packs supplémentaires pour les comptes en période d'essai.</w:t>
      </w:r>
    </w:p>
    <w:p>
      <w:pPr>
        <w:pStyle w:val="Heading2"/>
        <w:keepNext/>
      </w:pPr>
      <w:r>
        <w:rPr>
          <w:rFonts w:ascii="Calibri" w:hAnsi="Calibri"/>
          <w:b/>
          <w:color w:val="0B1A4D"/>
          <w:sz w:val="24"/>
        </w:rPr>
        <w:t>Scénario 7 — Gestion d'équipe &amp; Invitations</w:t>
      </w:r>
    </w:p>
    <w:p>
      <w:pPr>
        <w:pStyle w:val="ListBullet"/>
        <w:spacing w:after="50" w:line="240" w:lineRule="auto"/>
      </w:pPr>
      <w:r>
        <w:rPr>
          <w:rFonts w:ascii="Calibri" w:hAnsi="Calibri" w:eastAsia="Calibri"/>
          <w:b w:val="0"/>
          <w:i w:val="0"/>
          <w:color w:val="1E293B"/>
          <w:sz w:val="19"/>
        </w:rPr>
        <w:t>□ Menu Équipe (/team) : formulaire d'invitation d'un confrère par e-mail professionnel sécurisé.</w:t>
      </w:r>
    </w:p>
    <w:p>
      <w:pPr>
        <w:pStyle w:val="ListBullet"/>
        <w:spacing w:after="50" w:line="240" w:lineRule="auto"/>
      </w:pPr>
      <w:r>
        <w:rPr>
          <w:rFonts w:ascii="Calibri" w:hAnsi="Calibri" w:eastAsia="Calibri"/>
          <w:b w:val="0"/>
          <w:i w:val="0"/>
          <w:color w:val="1E293B"/>
          <w:sz w:val="19"/>
        </w:rPr>
        <w:t>□ Absence de code cabinet affiché en clair sur l'écran (sécurité contre les adhésions non autorisées).</w:t>
      </w:r>
    </w:p>
    <w:p>
      <w:pPr>
        <w:pStyle w:val="Heading2"/>
        <w:keepNext/>
      </w:pPr>
      <w:r>
        <w:rPr>
          <w:rFonts w:ascii="Calibri" w:hAnsi="Calibri"/>
          <w:b/>
          <w:color w:val="0B1A4D"/>
          <w:sz w:val="24"/>
        </w:rPr>
        <w:t>Scénario 8 — Demandes d'offres Entreprise &amp; Sur mesure</w:t>
      </w:r>
    </w:p>
    <w:p>
      <w:pPr>
        <w:pStyle w:val="ListBullet"/>
        <w:spacing w:after="50" w:line="240" w:lineRule="auto"/>
      </w:pPr>
      <w:r>
        <w:rPr>
          <w:rFonts w:ascii="Calibri" w:hAnsi="Calibri" w:eastAsia="Calibri"/>
          <w:b w:val="0"/>
          <w:i w:val="0"/>
          <w:color w:val="1E293B"/>
          <w:sz w:val="19"/>
        </w:rPr>
        <w:t>□ Visite de https://lexhub.space/tarifs en mode déconnecté : affichage des 4 forfaits et de la 5ᵉ case Sur mesure.</w:t>
      </w:r>
    </w:p>
    <w:p>
      <w:pPr>
        <w:pStyle w:val="ListBullet"/>
        <w:spacing w:after="50" w:line="240" w:lineRule="auto"/>
      </w:pPr>
      <w:r>
        <w:rPr>
          <w:rFonts w:ascii="Calibri" w:hAnsi="Calibri" w:eastAsia="Calibri"/>
          <w:b w:val="0"/>
          <w:i w:val="0"/>
          <w:color w:val="1E293B"/>
          <w:sz w:val="19"/>
        </w:rPr>
        <w:t>□ Clic sur l'offre Entreprise : redirection automatique vers le formulaire /commercial?intent=enterprise.</w:t>
      </w:r>
    </w:p>
    <w:p>
      <w:pPr>
        <w:pStyle w:val="ListBullet"/>
        <w:spacing w:after="50" w:line="240" w:lineRule="auto"/>
      </w:pPr>
      <w:r>
        <w:rPr>
          <w:rFonts w:ascii="Calibri" w:hAnsi="Calibri" w:eastAsia="Calibri"/>
          <w:b w:val="0"/>
          <w:i w:val="0"/>
          <w:color w:val="1E293B"/>
          <w:sz w:val="19"/>
        </w:rPr>
        <w:t>□ Soumission d'une demande de test : apparition immédiate dans la console d'administration /admin/leads.</w:t>
      </w:r>
    </w:p>
    <w:p>
      <w:pPr>
        <w:pStyle w:val="Heading2"/>
        <w:keepNext/>
      </w:pPr>
      <w:r>
        <w:rPr>
          <w:rFonts w:ascii="Calibri" w:hAnsi="Calibri"/>
          <w:b/>
          <w:color w:val="0B1A4D"/>
          <w:sz w:val="24"/>
        </w:rPr>
        <w:t>Scénario 9 — Accès sécurisé Base de données (PostgreSQL &amp; Adminer via tunnel SSH)</w:t>
      </w:r>
    </w:p>
    <w:p>
      <w:pPr>
        <w:pStyle w:val="ListBullet"/>
        <w:spacing w:after="50" w:line="240" w:lineRule="auto"/>
      </w:pPr>
      <w:r>
        <w:rPr>
          <w:rFonts w:ascii="Calibri" w:hAnsi="Calibri" w:eastAsia="Calibri"/>
          <w:b w:val="0"/>
          <w:i w:val="0"/>
          <w:color w:val="1E293B"/>
          <w:sz w:val="19"/>
        </w:rPr>
        <w:t>□ Confirmation de l'étanchéité publique : l'accès direct via https://lexhub.space/_ops/db/ renvoie bien 404 / 308 (aucun port de base de données exposé au web).</w:t>
      </w:r>
    </w:p>
    <w:p>
      <w:pPr>
        <w:pStyle w:val="ListBullet"/>
        <w:spacing w:after="50" w:line="240" w:lineRule="auto"/>
      </w:pPr>
      <w:r>
        <w:rPr>
          <w:rFonts w:ascii="Calibri" w:hAnsi="Calibri" w:eastAsia="Calibri"/>
          <w:b w:val="0"/>
          <w:i w:val="0"/>
          <w:color w:val="1E293B"/>
          <w:sz w:val="19"/>
        </w:rPr>
        <w:t>□ Lancement du tunnel chiffré : double-clic sur Ouvrir_Adminer.bat (ou exécution de python scripts\open_adminer_tunnel.py).</w:t>
      </w:r>
    </w:p>
    <w:p>
      <w:pPr>
        <w:pStyle w:val="ListBullet"/>
        <w:spacing w:after="50" w:line="240" w:lineRule="auto"/>
      </w:pPr>
      <w:r>
        <w:rPr>
          <w:rFonts w:ascii="Calibri" w:hAnsi="Calibri" w:eastAsia="Calibri"/>
          <w:b w:val="0"/>
          <w:i w:val="0"/>
          <w:color w:val="1E293B"/>
          <w:sz w:val="19"/>
        </w:rPr>
        <w:t>□ Ouverture locale dans le navigateur : navigation sur http://127.0.0.1:8088 sans aucune installation logicielle locale.</w:t>
      </w:r>
    </w:p>
    <w:p>
      <w:pPr>
        <w:pStyle w:val="ListBullet"/>
        <w:spacing w:after="50" w:line="240" w:lineRule="auto"/>
      </w:pPr>
      <w:r>
        <w:rPr>
          <w:rFonts w:ascii="Calibri" w:hAnsi="Calibri" w:eastAsia="Calibri"/>
          <w:b w:val="0"/>
          <w:i w:val="0"/>
          <w:color w:val="1E293B"/>
          <w:sz w:val="19"/>
        </w:rPr>
        <w:t>□ Authentification PostgreSQL de production : Système=PostgreSQL, Serveur=postgres, Utilisateur=lexhub, Base=lexhub, Mot de passe=LhPg-gGhAymhq7AnfnrlWCEdvsloQ.</w:t>
      </w:r>
    </w:p>
    <w:p>
      <w:pPr>
        <w:pStyle w:val="ListBullet"/>
        <w:spacing w:after="50" w:line="240" w:lineRule="auto"/>
      </w:pPr>
      <w:r>
        <w:rPr>
          <w:rFonts w:ascii="Calibri" w:hAnsi="Calibri" w:eastAsia="Calibri"/>
          <w:b w:val="0"/>
          <w:i w:val="0"/>
          <w:color w:val="1E293B"/>
          <w:sz w:val="19"/>
        </w:rPr>
        <w:t>□ Audit des données en direct : inspection des tables commercial_leads (demandes Entreprise), cabinets, users, cases et plaidoirie_drafts.</w:t>
      </w:r>
    </w:p>
    <w:p>
      <w:pPr>
        <w:pStyle w:val="ListBullet"/>
        <w:spacing w:after="50" w:line="240" w:lineRule="auto"/>
      </w:pPr>
      <w:r>
        <w:rPr>
          <w:rFonts w:ascii="Calibri" w:hAnsi="Calibri" w:eastAsia="Calibri"/>
          <w:b w:val="0"/>
          <w:i w:val="0"/>
          <w:color w:val="1E293B"/>
          <w:sz w:val="19"/>
        </w:rPr>
        <w:t>□ Révocation immédiate : fermeture de la console terminal coupant instantanément le tunnel SSH.</w:t>
      </w:r>
    </w:p>
    <w:p>
      <w:pPr>
        <w:pStyle w:val="Heading1"/>
        <w:keepNext/>
      </w:pPr>
      <w:r>
        <w:rPr>
          <w:rFonts w:ascii="Calibri" w:hAnsi="Calibri"/>
          <w:b/>
          <w:color w:val="0B1A4D"/>
          <w:sz w:val="30"/>
        </w:rPr>
        <w:t>PARTIE E — Console d'Administration Plateforme WEBVOICE</w:t>
      </w:r>
    </w:p>
    <w:p>
      <w:pPr>
        <w:spacing w:after="100" w:line="240" w:lineRule="auto"/>
      </w:pPr>
      <w:r>
        <w:rPr>
          <w:rFonts w:ascii="Calibri" w:hAnsi="Calibri" w:eastAsia="Calibri"/>
          <w:b w:val="0"/>
          <w:i w:val="0"/>
          <w:color w:val="1E293B"/>
          <w:sz w:val="20"/>
        </w:rPr>
        <w:t>Réservée à l'opérateur technique et commercial WEBVOICE, la console d'administration (/admin) assure la gouvernance globale de l'écosystème LexHub (Accès : admin@webvoice.ma / WebVoice2026!) :</w:t>
      </w:r>
    </w:p>
    <w:p>
      <w:pPr>
        <w:pStyle w:val="ListBullet"/>
        <w:spacing w:after="50" w:line="240" w:lineRule="auto"/>
      </w:pPr>
      <w:r>
        <w:rPr>
          <w:rFonts w:ascii="Calibri" w:hAnsi="Calibri" w:eastAsia="Calibri"/>
          <w:b w:val="0"/>
          <w:i w:val="0"/>
          <w:color w:val="1E293B"/>
          <w:sz w:val="19"/>
        </w:rPr>
        <w:t>Tableau de bord métrique : décompte des cabinets actifs, utilisateurs inscrits, documents traités, requêtes IA et volume d'affaires global.</w:t>
      </w:r>
    </w:p>
    <w:p>
      <w:pPr>
        <w:pStyle w:val="ListBullet"/>
        <w:spacing w:after="50" w:line="240" w:lineRule="auto"/>
      </w:pPr>
      <w:r>
        <w:rPr>
          <w:rFonts w:ascii="Calibri" w:hAnsi="Calibri" w:eastAsia="Calibri"/>
          <w:b w:val="0"/>
          <w:i w:val="0"/>
          <w:color w:val="1E293B"/>
          <w:sz w:val="19"/>
        </w:rPr>
        <w:t>Gestion des cabinets (/admin/cabinets) : consultation de la fiche détaillée de chaque cabinet, audit de conformité et attribution directe de forfaits (notamment activation du plan Entreprise après qualification).</w:t>
      </w:r>
    </w:p>
    <w:p>
      <w:pPr>
        <w:pStyle w:val="ListBullet"/>
        <w:spacing w:after="50" w:line="240" w:lineRule="auto"/>
      </w:pPr>
      <w:r>
        <w:rPr>
          <w:rFonts w:ascii="Calibri" w:hAnsi="Calibri" w:eastAsia="Calibri"/>
          <w:b w:val="0"/>
          <w:i w:val="0"/>
          <w:color w:val="1E293B"/>
          <w:sz w:val="19"/>
        </w:rPr>
        <w:t>Traitement des leads commerciaux (/admin/leads) : suivi du pipeline commercial pour les demandes d'essais Entreprise et de devis Sur mesure (statuts : Nouveau, En cours, Qualifié, Converti).</w:t>
      </w:r>
    </w:p>
    <w:p>
      <w:pPr>
        <w:pStyle w:val="ListBullet"/>
        <w:spacing w:after="50" w:line="240" w:lineRule="auto"/>
      </w:pPr>
      <w:r>
        <w:rPr>
          <w:rFonts w:ascii="Calibri" w:hAnsi="Calibri" w:eastAsia="Calibri"/>
          <w:b w:val="0"/>
          <w:i w:val="0"/>
          <w:color w:val="1E293B"/>
          <w:sz w:val="19"/>
        </w:rPr>
        <w:t>Module Ops Coach : analyse automatique de l'activité des cabinets, détection des points de friction et génération de recommandations d'accompagnement proactif.</w:t>
      </w:r>
    </w:p>
    <w:p>
      <w:pPr>
        <w:pStyle w:val="ListBullet"/>
        <w:spacing w:after="50" w:line="240" w:lineRule="auto"/>
      </w:pPr>
      <w:r>
        <w:rPr>
          <w:rFonts w:ascii="Calibri" w:hAnsi="Calibri" w:eastAsia="Calibri"/>
          <w:b w:val="0"/>
          <w:i w:val="0"/>
          <w:color w:val="1E293B"/>
          <w:sz w:val="19"/>
        </w:rPr>
        <w:t>Sécurité et zone critique : possibilité de suspendre ou purger un cabinet de test dans le strict respect de la traçabilité administrative.</w:t>
      </w:r>
    </w:p>
    <w:p>
      <w:pPr>
        <w:pStyle w:val="Heading1"/>
        <w:keepNext/>
      </w:pPr>
      <w:r>
        <w:rPr>
          <w:rFonts w:ascii="Calibri" w:hAnsi="Calibri"/>
          <w:b/>
          <w:color w:val="0B1A4D"/>
          <w:sz w:val="30"/>
        </w:rPr>
        <w:t>Annexe — Architecture technique &amp; Dépannage rapide</w:t>
      </w:r>
    </w:p>
    <w:p>
      <w:pPr>
        <w:pStyle w:val="Heading2"/>
        <w:keepNext/>
      </w:pPr>
      <w:r>
        <w:rPr>
          <w:rFonts w:ascii="Calibri" w:hAnsi="Calibri"/>
          <w:b/>
          <w:color w:val="0B1A4D"/>
          <w:sz w:val="24"/>
        </w:rPr>
        <w:t>Architecture technologique de production</w:t>
      </w:r>
    </w:p>
    <w:tbl>
      <w:tblPr>
        <w:tblStyle w:val="TableGrid"/>
        <w:tblW w:type="auto" w:w="0"/>
        <w:tblLayout w:type="fixed"/>
        <w:tblLook w:firstColumn="1" w:firstRow="1" w:lastColumn="0" w:lastRow="0" w:noHBand="0" w:noVBand="1" w:val="04A0"/>
      </w:tblPr>
      <w:tblGrid>
        <w:gridCol w:w="3400"/>
        <w:gridCol w:w="3400"/>
        <w:gridCol w:w="3400"/>
      </w:tblGrid>
      <w:tr>
        <w:tc>
          <w:tcPr>
            <w:tcW w:type="dxa" w:w="2268"/>
            <w:shd w:fill="0B1A4D" w:val="clear"/>
          </w:tcPr>
          <w:p>
            <w:pPr>
              <w:spacing w:after="60" w:before="60"/>
            </w:pPr>
            <w:r/>
            <w:r>
              <w:rPr>
                <w:rFonts w:ascii="Calibri" w:hAnsi="Calibri" w:eastAsia="Calibri"/>
                <w:b/>
                <w:i w:val="0"/>
                <w:color w:val="FFFFFF"/>
                <w:sz w:val="17"/>
              </w:rPr>
              <w:t>Composant système</w:t>
            </w:r>
          </w:p>
        </w:tc>
        <w:tc>
          <w:tcPr>
            <w:tcW w:type="dxa" w:w="2835"/>
            <w:shd w:fill="0B1A4D" w:val="clear"/>
          </w:tcPr>
          <w:p>
            <w:pPr>
              <w:spacing w:after="60" w:before="60"/>
            </w:pPr>
            <w:r/>
            <w:r>
              <w:rPr>
                <w:rFonts w:ascii="Calibri" w:hAnsi="Calibri" w:eastAsia="Calibri"/>
                <w:b/>
                <w:i w:val="0"/>
                <w:color w:val="FFFFFF"/>
                <w:sz w:val="17"/>
              </w:rPr>
              <w:t>Technologies déployées</w:t>
            </w:r>
          </w:p>
        </w:tc>
        <w:tc>
          <w:tcPr>
            <w:tcW w:type="dxa" w:w="4535"/>
            <w:shd w:fill="0B1A4D" w:val="clear"/>
          </w:tcPr>
          <w:p>
            <w:pPr>
              <w:spacing w:after="60" w:before="60"/>
            </w:pPr>
            <w:r/>
            <w:r>
              <w:rPr>
                <w:rFonts w:ascii="Calibri" w:hAnsi="Calibri" w:eastAsia="Calibri"/>
                <w:b/>
                <w:i w:val="0"/>
                <w:color w:val="FFFFFF"/>
                <w:sz w:val="17"/>
              </w:rPr>
              <w:t>Rôle &amp; Spécificités</w:t>
            </w:r>
          </w:p>
        </w:tc>
      </w:tr>
      <w:tr>
        <w:tc>
          <w:tcPr>
            <w:tcW w:type="dxa" w:w="2268"/>
          </w:tcPr>
          <w:p>
            <w:pPr>
              <w:spacing w:after="50" w:before="50"/>
            </w:pPr>
            <w:r/>
            <w:r>
              <w:rPr>
                <w:rFonts w:ascii="Calibri" w:hAnsi="Calibri" w:eastAsia="Calibri"/>
                <w:b w:val="0"/>
                <w:i w:val="0"/>
                <w:color w:val="1E293B"/>
                <w:sz w:val="17"/>
              </w:rPr>
              <w:t>Frontend utilisateur</w:t>
            </w:r>
          </w:p>
        </w:tc>
        <w:tc>
          <w:tcPr>
            <w:tcW w:type="dxa" w:w="2835"/>
          </w:tcPr>
          <w:p>
            <w:pPr>
              <w:spacing w:after="50" w:before="50"/>
            </w:pPr>
            <w:r/>
            <w:r>
              <w:rPr>
                <w:rFonts w:ascii="Calibri" w:hAnsi="Calibri" w:eastAsia="Calibri"/>
                <w:b w:val="0"/>
                <w:i w:val="0"/>
                <w:color w:val="1E293B"/>
                <w:sz w:val="17"/>
              </w:rPr>
              <w:t>Next.js 14, React 18, TypeScript, Tailwind CSS</w:t>
            </w:r>
          </w:p>
        </w:tc>
        <w:tc>
          <w:tcPr>
            <w:tcW w:type="dxa" w:w="4535"/>
          </w:tcPr>
          <w:p>
            <w:pPr>
              <w:spacing w:after="50" w:before="50"/>
            </w:pPr>
            <w:r/>
            <w:r>
              <w:rPr>
                <w:rFonts w:ascii="Calibri" w:hAnsi="Calibri" w:eastAsia="Calibri"/>
                <w:b w:val="0"/>
                <w:i w:val="0"/>
                <w:color w:val="1E293B"/>
                <w:sz w:val="17"/>
              </w:rPr>
              <w:t>Application réactive avec rendu serveur optimisé et bascule bilingue FR/AR.</w:t>
            </w:r>
          </w:p>
        </w:tc>
      </w:tr>
      <w:tr>
        <w:tc>
          <w:tcPr>
            <w:tcW w:type="dxa" w:w="2268"/>
            <w:shd w:fill="F8FAFC" w:val="clear"/>
          </w:tcPr>
          <w:p>
            <w:pPr>
              <w:spacing w:after="50" w:before="50"/>
            </w:pPr>
            <w:r/>
            <w:r>
              <w:rPr>
                <w:rFonts w:ascii="Calibri" w:hAnsi="Calibri" w:eastAsia="Calibri"/>
                <w:b w:val="0"/>
                <w:i w:val="0"/>
                <w:color w:val="1E293B"/>
                <w:sz w:val="17"/>
              </w:rPr>
              <w:t>Backend API</w:t>
            </w:r>
          </w:p>
        </w:tc>
        <w:tc>
          <w:tcPr>
            <w:tcW w:type="dxa" w:w="2835"/>
            <w:shd w:fill="F8FAFC" w:val="clear"/>
          </w:tcPr>
          <w:p>
            <w:pPr>
              <w:spacing w:after="50" w:before="50"/>
            </w:pPr>
            <w:r/>
            <w:r>
              <w:rPr>
                <w:rFonts w:ascii="Calibri" w:hAnsi="Calibri" w:eastAsia="Calibri"/>
                <w:b w:val="0"/>
                <w:i w:val="0"/>
                <w:color w:val="1E293B"/>
                <w:sz w:val="17"/>
              </w:rPr>
              <w:t>FastAPI (Python 3.11), Pydantic v2, SQLAlchemy</w:t>
            </w:r>
          </w:p>
        </w:tc>
        <w:tc>
          <w:tcPr>
            <w:tcW w:type="dxa" w:w="4535"/>
            <w:shd w:fill="F8FAFC" w:val="clear"/>
          </w:tcPr>
          <w:p>
            <w:pPr>
              <w:spacing w:after="50" w:before="50"/>
            </w:pPr>
            <w:r/>
            <w:r>
              <w:rPr>
                <w:rFonts w:ascii="Calibri" w:hAnsi="Calibri" w:eastAsia="Calibri"/>
                <w:b w:val="0"/>
                <w:i w:val="0"/>
                <w:color w:val="1E293B"/>
                <w:sz w:val="17"/>
              </w:rPr>
              <w:t>Architecture micro-services asynchrone, haute performance et documentation OpenAPI.</w:t>
            </w:r>
          </w:p>
        </w:tc>
      </w:tr>
      <w:tr>
        <w:tc>
          <w:tcPr>
            <w:tcW w:type="dxa" w:w="2268"/>
          </w:tcPr>
          <w:p>
            <w:pPr>
              <w:spacing w:after="50" w:before="50"/>
            </w:pPr>
            <w:r/>
            <w:r>
              <w:rPr>
                <w:rFonts w:ascii="Calibri" w:hAnsi="Calibri" w:eastAsia="Calibri"/>
                <w:b w:val="0"/>
                <w:i w:val="0"/>
                <w:color w:val="1E293B"/>
                <w:sz w:val="17"/>
              </w:rPr>
              <w:t>Base de données relationnelle</w:t>
            </w:r>
          </w:p>
        </w:tc>
        <w:tc>
          <w:tcPr>
            <w:tcW w:type="dxa" w:w="2835"/>
          </w:tcPr>
          <w:p>
            <w:pPr>
              <w:spacing w:after="50" w:before="50"/>
            </w:pPr>
            <w:r/>
            <w:r>
              <w:rPr>
                <w:rFonts w:ascii="Calibri" w:hAnsi="Calibri" w:eastAsia="Calibri"/>
                <w:b w:val="0"/>
                <w:i w:val="0"/>
                <w:color w:val="1E293B"/>
                <w:sz w:val="17"/>
              </w:rPr>
              <w:t>PostgreSQL 16 (Schéma relationnel étanche)</w:t>
            </w:r>
          </w:p>
        </w:tc>
        <w:tc>
          <w:tcPr>
            <w:tcW w:type="dxa" w:w="4535"/>
          </w:tcPr>
          <w:p>
            <w:pPr>
              <w:spacing w:after="50" w:before="50"/>
            </w:pPr>
            <w:r/>
            <w:r>
              <w:rPr>
                <w:rFonts w:ascii="Calibri" w:hAnsi="Calibri" w:eastAsia="Calibri"/>
                <w:b w:val="0"/>
                <w:i w:val="0"/>
                <w:color w:val="1E293B"/>
                <w:sz w:val="17"/>
              </w:rPr>
              <w:t>Stockage relationnel complet, audit logs, migrations de schéma via Alembic.</w:t>
            </w:r>
          </w:p>
        </w:tc>
      </w:tr>
      <w:tr>
        <w:tc>
          <w:tcPr>
            <w:tcW w:type="dxa" w:w="2268"/>
            <w:shd w:fill="F8FAFC" w:val="clear"/>
          </w:tcPr>
          <w:p>
            <w:pPr>
              <w:spacing w:after="50" w:before="50"/>
            </w:pPr>
            <w:r/>
            <w:r>
              <w:rPr>
                <w:rFonts w:ascii="Calibri" w:hAnsi="Calibri" w:eastAsia="Calibri"/>
                <w:b w:val="0"/>
                <w:i w:val="0"/>
                <w:color w:val="1E293B"/>
                <w:sz w:val="17"/>
              </w:rPr>
              <w:t>File de messages &amp; Tâches de fond</w:t>
            </w:r>
          </w:p>
        </w:tc>
        <w:tc>
          <w:tcPr>
            <w:tcW w:type="dxa" w:w="2835"/>
            <w:shd w:fill="F8FAFC" w:val="clear"/>
          </w:tcPr>
          <w:p>
            <w:pPr>
              <w:spacing w:after="50" w:before="50"/>
            </w:pPr>
            <w:r/>
            <w:r>
              <w:rPr>
                <w:rFonts w:ascii="Calibri" w:hAnsi="Calibri" w:eastAsia="Calibri"/>
                <w:b w:val="0"/>
                <w:i w:val="0"/>
                <w:color w:val="1E293B"/>
                <w:sz w:val="17"/>
              </w:rPr>
              <w:t>Celery, Redis 7 (In-Memory)</w:t>
            </w:r>
          </w:p>
        </w:tc>
        <w:tc>
          <w:tcPr>
            <w:tcW w:type="dxa" w:w="4535"/>
            <w:shd w:fill="F8FAFC" w:val="clear"/>
          </w:tcPr>
          <w:p>
            <w:pPr>
              <w:spacing w:after="50" w:before="50"/>
            </w:pPr>
            <w:r/>
            <w:r>
              <w:rPr>
                <w:rFonts w:ascii="Calibri" w:hAnsi="Calibri" w:eastAsia="Calibri"/>
                <w:b w:val="0"/>
                <w:i w:val="0"/>
                <w:color w:val="1E293B"/>
                <w:sz w:val="17"/>
              </w:rPr>
              <w:t>Traitement asynchrone des fichiers lourds, OCR et transcription audio.</w:t>
            </w:r>
          </w:p>
        </w:tc>
      </w:tr>
      <w:tr>
        <w:tc>
          <w:tcPr>
            <w:tcW w:type="dxa" w:w="2268"/>
          </w:tcPr>
          <w:p>
            <w:pPr>
              <w:spacing w:after="50" w:before="50"/>
            </w:pPr>
            <w:r/>
            <w:r>
              <w:rPr>
                <w:rFonts w:ascii="Calibri" w:hAnsi="Calibri" w:eastAsia="Calibri"/>
                <w:b w:val="0"/>
                <w:i w:val="0"/>
                <w:color w:val="1E293B"/>
                <w:sz w:val="17"/>
              </w:rPr>
              <w:t>Moteur vocal (Dictée)</w:t>
            </w:r>
          </w:p>
        </w:tc>
        <w:tc>
          <w:tcPr>
            <w:tcW w:type="dxa" w:w="2835"/>
          </w:tcPr>
          <w:p>
            <w:pPr>
              <w:spacing w:after="50" w:before="50"/>
            </w:pPr>
            <w:r/>
            <w:r>
              <w:rPr>
                <w:rFonts w:ascii="Calibri" w:hAnsi="Calibri" w:eastAsia="Calibri"/>
                <w:b w:val="0"/>
                <w:i w:val="0"/>
                <w:color w:val="1E293B"/>
                <w:sz w:val="17"/>
              </w:rPr>
              <w:t>Web Speech API (Reconnaissance vocale native Chrome)</w:t>
            </w:r>
          </w:p>
        </w:tc>
        <w:tc>
          <w:tcPr>
            <w:tcW w:type="dxa" w:w="4535"/>
          </w:tcPr>
          <w:p>
            <w:pPr>
              <w:spacing w:after="50" w:before="50"/>
            </w:pPr>
            <w:r/>
            <w:r>
              <w:rPr>
                <w:rFonts w:ascii="Calibri" w:hAnsi="Calibri" w:eastAsia="Calibri"/>
                <w:b w:val="0"/>
                <w:i w:val="0"/>
                <w:color w:val="1E293B"/>
                <w:sz w:val="17"/>
              </w:rPr>
              <w:t>Transcription audio instantanée sans latence ni coût d'API, compatible arabe fusha et français.</w:t>
            </w:r>
          </w:p>
        </w:tc>
      </w:tr>
      <w:tr>
        <w:tc>
          <w:tcPr>
            <w:tcW w:type="dxa" w:w="2268"/>
            <w:shd w:fill="F8FAFC" w:val="clear"/>
          </w:tcPr>
          <w:p>
            <w:pPr>
              <w:spacing w:after="50" w:before="50"/>
            </w:pPr>
            <w:r/>
            <w:r>
              <w:rPr>
                <w:rFonts w:ascii="Calibri" w:hAnsi="Calibri" w:eastAsia="Calibri"/>
                <w:b w:val="0"/>
                <w:i w:val="0"/>
                <w:color w:val="1E293B"/>
                <w:sz w:val="17"/>
              </w:rPr>
              <w:t>Moteur rédactionnel &amp; révision</w:t>
            </w:r>
          </w:p>
        </w:tc>
        <w:tc>
          <w:tcPr>
            <w:tcW w:type="dxa" w:w="2835"/>
            <w:shd w:fill="F8FAFC" w:val="clear"/>
          </w:tcPr>
          <w:p>
            <w:pPr>
              <w:spacing w:after="50" w:before="50"/>
            </w:pPr>
            <w:r/>
            <w:r>
              <w:rPr>
                <w:rFonts w:ascii="Calibri" w:hAnsi="Calibri" w:eastAsia="Calibri"/>
                <w:b w:val="0"/>
                <w:i w:val="0"/>
                <w:color w:val="1E293B"/>
                <w:sz w:val="17"/>
              </w:rPr>
              <w:t>ChatGPT (GPT-4o) via passerelle sécurisée</w:t>
            </w:r>
          </w:p>
        </w:tc>
        <w:tc>
          <w:tcPr>
            <w:tcW w:type="dxa" w:w="4535"/>
            <w:shd w:fill="F8FAFC" w:val="clear"/>
          </w:tcPr>
          <w:p>
            <w:pPr>
              <w:spacing w:after="50" w:before="50"/>
            </w:pPr>
            <w:r/>
            <w:r>
              <w:rPr>
                <w:rFonts w:ascii="Calibri" w:hAnsi="Calibri" w:eastAsia="Calibri"/>
                <w:b w:val="0"/>
                <w:i w:val="0"/>
                <w:color w:val="1E293B"/>
                <w:sz w:val="17"/>
              </w:rPr>
              <w:t>Génération juridique encadrée avec anonymisation PII préalable.</w:t>
            </w:r>
          </w:p>
        </w:tc>
      </w:tr>
      <w:tr>
        <w:tc>
          <w:tcPr>
            <w:tcW w:type="dxa" w:w="2268"/>
          </w:tcPr>
          <w:p>
            <w:pPr>
              <w:spacing w:after="50" w:before="50"/>
            </w:pPr>
            <w:r/>
            <w:r>
              <w:rPr>
                <w:rFonts w:ascii="Calibri" w:hAnsi="Calibri" w:eastAsia="Calibri"/>
                <w:b w:val="0"/>
                <w:i w:val="0"/>
                <w:color w:val="1E293B"/>
                <w:sz w:val="17"/>
              </w:rPr>
              <w:t>Moteur d'export de plaidoiries</w:t>
            </w:r>
          </w:p>
        </w:tc>
        <w:tc>
          <w:tcPr>
            <w:tcW w:type="dxa" w:w="2835"/>
          </w:tcPr>
          <w:p>
            <w:pPr>
              <w:spacing w:after="50" w:before="50"/>
            </w:pPr>
            <w:r/>
            <w:r>
              <w:rPr>
                <w:rFonts w:ascii="Calibri" w:hAnsi="Calibri" w:eastAsia="Calibri"/>
                <w:b w:val="0"/>
                <w:i w:val="0"/>
                <w:color w:val="1E293B"/>
                <w:sz w:val="17"/>
              </w:rPr>
              <w:t>python-docx (Générateur binaire Word avancé)</w:t>
            </w:r>
          </w:p>
        </w:tc>
        <w:tc>
          <w:tcPr>
            <w:tcW w:type="dxa" w:w="4535"/>
          </w:tcPr>
          <w:p>
            <w:pPr>
              <w:spacing w:after="50" w:before="50"/>
            </w:pPr>
            <w:r/>
            <w:r>
              <w:rPr>
                <w:rFonts w:ascii="Calibri" w:hAnsi="Calibri" w:eastAsia="Calibri"/>
                <w:b w:val="0"/>
                <w:i w:val="0"/>
                <w:color w:val="1E293B"/>
                <w:sz w:val="17"/>
              </w:rPr>
              <w:t>Format officiel unique .docx, typographie vectorielle Noto Naskh RTL et armoiries royales.</w:t>
            </w:r>
          </w:p>
        </w:tc>
      </w:tr>
      <w:tr>
        <w:tc>
          <w:tcPr>
            <w:tcW w:type="dxa" w:w="2268"/>
            <w:shd w:fill="F8FAFC" w:val="clear"/>
          </w:tcPr>
          <w:p>
            <w:pPr>
              <w:spacing w:after="50" w:before="50"/>
            </w:pPr>
            <w:r/>
            <w:r>
              <w:rPr>
                <w:rFonts w:ascii="Calibri" w:hAnsi="Calibri" w:eastAsia="Calibri"/>
                <w:b w:val="0"/>
                <w:i w:val="0"/>
                <w:color w:val="1E293B"/>
                <w:sz w:val="17"/>
              </w:rPr>
              <w:t>Stockage objet (S3)</w:t>
            </w:r>
          </w:p>
        </w:tc>
        <w:tc>
          <w:tcPr>
            <w:tcW w:type="dxa" w:w="2835"/>
            <w:shd w:fill="F8FAFC" w:val="clear"/>
          </w:tcPr>
          <w:p>
            <w:pPr>
              <w:spacing w:after="50" w:before="50"/>
            </w:pPr>
            <w:r/>
            <w:r>
              <w:rPr>
                <w:rFonts w:ascii="Calibri" w:hAnsi="Calibri" w:eastAsia="Calibri"/>
                <w:b w:val="0"/>
                <w:i w:val="0"/>
                <w:color w:val="1E293B"/>
                <w:sz w:val="17"/>
              </w:rPr>
              <w:t>MinIO S3-Compatible (bucket lexhub-documents)</w:t>
            </w:r>
          </w:p>
        </w:tc>
        <w:tc>
          <w:tcPr>
            <w:tcW w:type="dxa" w:w="4535"/>
            <w:shd w:fill="F8FAFC" w:val="clear"/>
          </w:tcPr>
          <w:p>
            <w:pPr>
              <w:spacing w:after="50" w:before="50"/>
            </w:pPr>
            <w:r/>
            <w:r>
              <w:rPr>
                <w:rFonts w:ascii="Calibri" w:hAnsi="Calibri" w:eastAsia="Calibri"/>
                <w:b w:val="0"/>
                <w:i w:val="0"/>
                <w:color w:val="1E293B"/>
                <w:sz w:val="17"/>
              </w:rPr>
              <w:t>Stockage chiffré des pièces judiciaires probatoires.</w:t>
            </w:r>
          </w:p>
        </w:tc>
      </w:tr>
      <w:tr>
        <w:tc>
          <w:tcPr>
            <w:tcW w:type="dxa" w:w="2268"/>
          </w:tcPr>
          <w:p>
            <w:pPr>
              <w:spacing w:after="50" w:before="50"/>
            </w:pPr>
            <w:r/>
            <w:r>
              <w:rPr>
                <w:rFonts w:ascii="Calibri" w:hAnsi="Calibri" w:eastAsia="Calibri"/>
                <w:b w:val="0"/>
                <w:i w:val="0"/>
                <w:color w:val="1E293B"/>
                <w:sz w:val="17"/>
              </w:rPr>
              <w:t>Serveur web &amp; Sécurité Edge</w:t>
            </w:r>
          </w:p>
        </w:tc>
        <w:tc>
          <w:tcPr>
            <w:tcW w:type="dxa" w:w="2835"/>
          </w:tcPr>
          <w:p>
            <w:pPr>
              <w:spacing w:after="50" w:before="50"/>
            </w:pPr>
            <w:r/>
            <w:r>
              <w:rPr>
                <w:rFonts w:ascii="Calibri" w:hAnsi="Calibri" w:eastAsia="Calibri"/>
                <w:b w:val="0"/>
                <w:i w:val="0"/>
                <w:color w:val="1E293B"/>
                <w:sz w:val="17"/>
              </w:rPr>
              <w:t>Caddy 2, Reverse-Proxy avec HTTPS automatique</w:t>
            </w:r>
          </w:p>
        </w:tc>
        <w:tc>
          <w:tcPr>
            <w:tcW w:type="dxa" w:w="4535"/>
          </w:tcPr>
          <w:p>
            <w:pPr>
              <w:spacing w:after="50" w:before="50"/>
            </w:pPr>
            <w:r/>
            <w:r>
              <w:rPr>
                <w:rFonts w:ascii="Calibri" w:hAnsi="Calibri" w:eastAsia="Calibri"/>
                <w:b w:val="0"/>
                <w:i w:val="0"/>
                <w:color w:val="1E293B"/>
                <w:sz w:val="17"/>
              </w:rPr>
              <w:t>Chiffrement TLS 1.3, certificats Let's Encrypt et en-têtes HSTS stricts.</w:t>
            </w:r>
          </w:p>
        </w:tc>
      </w:tr>
    </w:tbl>
    <w:p>
      <w:pPr>
        <w:spacing w:after="40"/>
      </w:pPr>
    </w:p>
    <w:p>
      <w:pPr>
        <w:pStyle w:val="Heading2"/>
        <w:keepNext/>
      </w:pPr>
      <w:r>
        <w:rPr>
          <w:rFonts w:ascii="Calibri" w:hAnsi="Calibri"/>
          <w:b/>
          <w:color w:val="0B1A4D"/>
          <w:sz w:val="24"/>
        </w:rPr>
        <w:t>Politique de sauvegarde &amp; Rétention des données</w:t>
      </w:r>
    </w:p>
    <w:p>
      <w:pPr>
        <w:pStyle w:val="ListBullet"/>
        <w:spacing w:after="50" w:line="240" w:lineRule="auto"/>
      </w:pPr>
      <w:r>
        <w:rPr>
          <w:rFonts w:ascii="Calibri" w:hAnsi="Calibri" w:eastAsia="Calibri"/>
          <w:b w:val="0"/>
          <w:i w:val="0"/>
          <w:color w:val="1E293B"/>
          <w:sz w:val="19"/>
        </w:rPr>
        <w:t>Sauvegarde automatique quotidienne déclenchée chaque nuit à 02:30 via le script scripts/backup.sh.</w:t>
      </w:r>
    </w:p>
    <w:p>
      <w:pPr>
        <w:pStyle w:val="ListBullet"/>
        <w:spacing w:after="50" w:line="240" w:lineRule="auto"/>
      </w:pPr>
      <w:r>
        <w:rPr>
          <w:rFonts w:ascii="Calibri" w:hAnsi="Calibri" w:eastAsia="Calibri"/>
          <w:b w:val="0"/>
          <w:i w:val="0"/>
          <w:color w:val="1E293B"/>
          <w:sz w:val="19"/>
        </w:rPr>
        <w:t>Format de sauvegarde : cliché binaire PostgreSQL complet (lexhub.dump) et archive compressée des documents MinIO (minio_data.tar.gz).</w:t>
      </w:r>
    </w:p>
    <w:p>
      <w:pPr>
        <w:pStyle w:val="ListBullet"/>
        <w:spacing w:after="50" w:line="240" w:lineRule="auto"/>
      </w:pPr>
      <w:r>
        <w:rPr>
          <w:rFonts w:ascii="Calibri" w:hAnsi="Calibri" w:eastAsia="Calibri"/>
          <w:b w:val="0"/>
          <w:i w:val="0"/>
          <w:color w:val="1E293B"/>
          <w:sz w:val="19"/>
        </w:rPr>
        <w:t>Rétention glissante sur 7 jours avec rotation automatique des archives.</w:t>
      </w:r>
    </w:p>
    <w:p>
      <w:pPr>
        <w:pStyle w:val="ListBullet"/>
        <w:spacing w:after="50" w:line="240" w:lineRule="auto"/>
      </w:pPr>
      <w:r>
        <w:rPr>
          <w:rFonts w:ascii="Calibri" w:hAnsi="Calibri" w:eastAsia="Calibri"/>
          <w:b w:val="0"/>
          <w:i w:val="0"/>
          <w:color w:val="1E293B"/>
          <w:sz w:val="19"/>
        </w:rPr>
        <w:t>Procédure de restauration d'urgence testée et validée via le script scripts/restore.sh.</w:t>
      </w:r>
    </w:p>
    <w:p>
      <w:pPr>
        <w:pStyle w:val="Heading2"/>
        <w:keepNext/>
      </w:pPr>
      <w:r>
        <w:rPr>
          <w:rFonts w:ascii="Calibri" w:hAnsi="Calibri"/>
          <w:b/>
          <w:color w:val="0B1A4D"/>
          <w:sz w:val="24"/>
        </w:rPr>
        <w:t>Guide de dépannage rapide (FAQ)</w:t>
      </w:r>
    </w:p>
    <w:tbl>
      <w:tblPr>
        <w:tblStyle w:val="TableGrid"/>
        <w:tblW w:type="auto" w:w="0"/>
        <w:tblLayout w:type="fixed"/>
        <w:tblLook w:firstColumn="1" w:firstRow="1" w:lastColumn="0" w:lastRow="0" w:noHBand="0" w:noVBand="1" w:val="04A0"/>
      </w:tblPr>
      <w:tblGrid>
        <w:gridCol w:w="5100"/>
        <w:gridCol w:w="5100"/>
      </w:tblGrid>
      <w:tr>
        <w:tc>
          <w:tcPr>
            <w:tcW w:type="dxa" w:w="3118"/>
            <w:shd w:fill="0B1A4D" w:val="clear"/>
          </w:tcPr>
          <w:p>
            <w:pPr>
              <w:spacing w:after="60" w:before="60"/>
            </w:pPr>
            <w:r/>
            <w:r>
              <w:rPr>
                <w:rFonts w:ascii="Calibri" w:hAnsi="Calibri" w:eastAsia="Calibri"/>
                <w:b/>
                <w:i w:val="0"/>
                <w:color w:val="FFFFFF"/>
                <w:sz w:val="17"/>
              </w:rPr>
              <w:t>Constat rencontré</w:t>
            </w:r>
          </w:p>
        </w:tc>
        <w:tc>
          <w:tcPr>
            <w:tcW w:type="dxa" w:w="6520"/>
            <w:shd w:fill="0B1A4D" w:val="clear"/>
          </w:tcPr>
          <w:p>
            <w:pPr>
              <w:spacing w:after="60" w:before="60"/>
            </w:pPr>
            <w:r/>
            <w:r>
              <w:rPr>
                <w:rFonts w:ascii="Calibri" w:hAnsi="Calibri" w:eastAsia="Calibri"/>
                <w:b/>
                <w:i w:val="0"/>
                <w:color w:val="FFFFFF"/>
                <w:sz w:val="17"/>
              </w:rPr>
              <w:t>Explication &amp; Démarche de résolution</w:t>
            </w:r>
          </w:p>
        </w:tc>
      </w:tr>
      <w:tr>
        <w:tc>
          <w:tcPr>
            <w:tcW w:type="dxa" w:w="3118"/>
          </w:tcPr>
          <w:p>
            <w:pPr>
              <w:spacing w:after="50" w:before="50"/>
            </w:pPr>
            <w:r/>
            <w:r>
              <w:rPr>
                <w:rFonts w:ascii="Calibri" w:hAnsi="Calibri" w:eastAsia="Calibri"/>
                <w:b w:val="0"/>
                <w:i w:val="0"/>
                <w:color w:val="1E293B"/>
                <w:sz w:val="17"/>
              </w:rPr>
              <w:t>L'écran semble afficher une version antérieure</w:t>
            </w:r>
          </w:p>
        </w:tc>
        <w:tc>
          <w:tcPr>
            <w:tcW w:type="dxa" w:w="6520"/>
          </w:tcPr>
          <w:p>
            <w:pPr>
              <w:spacing w:after="50" w:before="50"/>
            </w:pPr>
            <w:r/>
            <w:r>
              <w:rPr>
                <w:rFonts w:ascii="Calibri" w:hAnsi="Calibri" w:eastAsia="Calibri"/>
                <w:b w:val="0"/>
                <w:i w:val="0"/>
                <w:color w:val="1E293B"/>
                <w:sz w:val="17"/>
              </w:rPr>
              <w:t>Effectuer un rafraîchissement complet du cache navigateur : Ctrl+F5 sous Windows ou Cmd+Shift+R sous Mac.</w:t>
            </w:r>
          </w:p>
        </w:tc>
      </w:tr>
      <w:tr>
        <w:tc>
          <w:tcPr>
            <w:tcW w:type="dxa" w:w="3118"/>
            <w:shd w:fill="F8FAFC" w:val="clear"/>
          </w:tcPr>
          <w:p>
            <w:pPr>
              <w:spacing w:after="50" w:before="50"/>
            </w:pPr>
            <w:r/>
            <w:r>
              <w:rPr>
                <w:rFonts w:ascii="Calibri" w:hAnsi="Calibri" w:eastAsia="Calibri"/>
                <w:b w:val="0"/>
                <w:i w:val="0"/>
                <w:color w:val="1E293B"/>
                <w:sz w:val="17"/>
              </w:rPr>
              <w:t>Le microphone ne capture aucun son</w:t>
            </w:r>
          </w:p>
        </w:tc>
        <w:tc>
          <w:tcPr>
            <w:tcW w:type="dxa" w:w="6520"/>
            <w:shd w:fill="F8FAFC" w:val="clear"/>
          </w:tcPr>
          <w:p>
            <w:pPr>
              <w:spacing w:after="50" w:before="50"/>
            </w:pPr>
            <w:r/>
            <w:r>
              <w:rPr>
                <w:rFonts w:ascii="Calibri" w:hAnsi="Calibri" w:eastAsia="Calibri"/>
                <w:b w:val="0"/>
                <w:i w:val="0"/>
                <w:color w:val="1E293B"/>
                <w:sz w:val="17"/>
              </w:rPr>
              <w:t>Vérifier que les autorisations du micro sont accordées sur https://lexhub.space dans les paramètres Chrome.</w:t>
            </w:r>
          </w:p>
        </w:tc>
      </w:tr>
      <w:tr>
        <w:tc>
          <w:tcPr>
            <w:tcW w:type="dxa" w:w="3118"/>
          </w:tcPr>
          <w:p>
            <w:pPr>
              <w:spacing w:after="50" w:before="50"/>
            </w:pPr>
            <w:r/>
            <w:r>
              <w:rPr>
                <w:rFonts w:ascii="Calibri" w:hAnsi="Calibri" w:eastAsia="Calibri"/>
                <w:b w:val="0"/>
                <w:i w:val="0"/>
                <w:color w:val="1E293B"/>
                <w:sz w:val="17"/>
              </w:rPr>
              <w:t>Une pièce affiche « Échec d'analyse »</w:t>
            </w:r>
          </w:p>
        </w:tc>
        <w:tc>
          <w:tcPr>
            <w:tcW w:type="dxa" w:w="6520"/>
          </w:tcPr>
          <w:p>
            <w:pPr>
              <w:spacing w:after="50" w:before="50"/>
            </w:pPr>
            <w:r/>
            <w:r>
              <w:rPr>
                <w:rFonts w:ascii="Calibri" w:hAnsi="Calibri" w:eastAsia="Calibri"/>
                <w:b w:val="0"/>
                <w:i w:val="0"/>
                <w:color w:val="1E293B"/>
                <w:sz w:val="17"/>
              </w:rPr>
              <w:t>Vérifier que le document n'est pas protégé par un mot de passe ; cliquer sur « Réextraire » pour relancer l'OCR.</w:t>
            </w:r>
          </w:p>
        </w:tc>
      </w:tr>
      <w:tr>
        <w:tc>
          <w:tcPr>
            <w:tcW w:type="dxa" w:w="3118"/>
            <w:shd w:fill="F8FAFC" w:val="clear"/>
          </w:tcPr>
          <w:p>
            <w:pPr>
              <w:spacing w:after="50" w:before="50"/>
            </w:pPr>
            <w:r/>
            <w:r>
              <w:rPr>
                <w:rFonts w:ascii="Calibri" w:hAnsi="Calibri" w:eastAsia="Calibri"/>
                <w:b w:val="0"/>
                <w:i w:val="0"/>
                <w:color w:val="1E293B"/>
                <w:sz w:val="17"/>
              </w:rPr>
              <w:t>Le statut reste sur « Brouillon » après export</w:t>
            </w:r>
          </w:p>
        </w:tc>
        <w:tc>
          <w:tcPr>
            <w:tcW w:type="dxa" w:w="6520"/>
            <w:shd w:fill="F8FAFC" w:val="clear"/>
          </w:tcPr>
          <w:p>
            <w:pPr>
              <w:spacing w:after="50" w:before="50"/>
            </w:pPr>
            <w:r/>
            <w:r>
              <w:rPr>
                <w:rFonts w:ascii="Calibri" w:hAnsi="Calibri" w:eastAsia="Calibri"/>
                <w:b w:val="0"/>
                <w:i w:val="0"/>
                <w:color w:val="1E293B"/>
                <w:sz w:val="17"/>
              </w:rPr>
              <w:t>Consulter l'onglet « Finalisées » dans /redaction : l'export bascule automatiquement le document en finalisé.</w:t>
            </w:r>
          </w:p>
        </w:tc>
      </w:tr>
      <w:tr>
        <w:tc>
          <w:tcPr>
            <w:tcW w:type="dxa" w:w="3118"/>
          </w:tcPr>
          <w:p>
            <w:pPr>
              <w:spacing w:after="50" w:before="50"/>
            </w:pPr>
            <w:r/>
            <w:r>
              <w:rPr>
                <w:rFonts w:ascii="Calibri" w:hAnsi="Calibri" w:eastAsia="Calibri"/>
                <w:b w:val="0"/>
                <w:i w:val="0"/>
                <w:color w:val="1E293B"/>
                <w:sz w:val="17"/>
              </w:rPr>
              <w:t>Pourquoi l'export plaidoirie est-il uniquement Word (.docx) ?</w:t>
            </w:r>
          </w:p>
        </w:tc>
        <w:tc>
          <w:tcPr>
            <w:tcW w:type="dxa" w:w="6520"/>
          </w:tcPr>
          <w:p>
            <w:pPr>
              <w:spacing w:after="50" w:before="50"/>
            </w:pPr>
            <w:r/>
            <w:r>
              <w:rPr>
                <w:rFonts w:ascii="Calibri" w:hAnsi="Calibri" w:eastAsia="Calibri"/>
                <w:b w:val="0"/>
                <w:i w:val="0"/>
                <w:color w:val="1E293B"/>
                <w:sz w:val="17"/>
              </w:rPr>
              <w:t>Conforme aux impératifs judiciaires : les conclusions doivent être modifiables pour permettre à l'avocat d'annoter et d'adapter son mémoire avant audience.</w:t>
            </w:r>
          </w:p>
        </w:tc>
      </w:tr>
      <w:tr>
        <w:tc>
          <w:tcPr>
            <w:tcW w:type="dxa" w:w="3118"/>
            <w:shd w:fill="F8FAFC" w:val="clear"/>
          </w:tcPr>
          <w:p>
            <w:pPr>
              <w:spacing w:after="50" w:before="50"/>
            </w:pPr>
            <w:r/>
            <w:r>
              <w:rPr>
                <w:rFonts w:ascii="Calibri" w:hAnsi="Calibri" w:eastAsia="Calibri"/>
                <w:b w:val="0"/>
                <w:i w:val="0"/>
                <w:color w:val="1E293B"/>
                <w:sz w:val="17"/>
              </w:rPr>
              <w:t>Les offres de packs sont invisibles</w:t>
            </w:r>
          </w:p>
        </w:tc>
        <w:tc>
          <w:tcPr>
            <w:tcW w:type="dxa" w:w="6520"/>
            <w:shd w:fill="F8FAFC" w:val="clear"/>
          </w:tcPr>
          <w:p>
            <w:pPr>
              <w:spacing w:after="50" w:before="50"/>
            </w:pPr>
            <w:r/>
            <w:r>
              <w:rPr>
                <w:rFonts w:ascii="Calibri" w:hAnsi="Calibri" w:eastAsia="Calibri"/>
                <w:b w:val="0"/>
                <w:i w:val="0"/>
                <w:color w:val="1E293B"/>
                <w:sz w:val="17"/>
              </w:rPr>
              <w:t>Comportement normal : les packs de crédits sont réservés aux abonnements payants et masqués pendant l'essai.</w:t>
            </w:r>
          </w:p>
        </w:tc>
      </w:tr>
      <w:tr>
        <w:tc>
          <w:tcPr>
            <w:tcW w:type="dxa" w:w="3118"/>
          </w:tcPr>
          <w:p>
            <w:pPr>
              <w:spacing w:after="50" w:before="50"/>
            </w:pPr>
            <w:r/>
            <w:r>
              <w:rPr>
                <w:rFonts w:ascii="Calibri" w:hAnsi="Calibri" w:eastAsia="Calibri"/>
                <w:b w:val="0"/>
                <w:i w:val="0"/>
                <w:color w:val="1E293B"/>
                <w:sz w:val="17"/>
              </w:rPr>
              <w:t>Adminer affiche une erreur 404 sur HTTPS</w:t>
            </w:r>
          </w:p>
        </w:tc>
        <w:tc>
          <w:tcPr>
            <w:tcW w:type="dxa" w:w="6520"/>
          </w:tcPr>
          <w:p>
            <w:pPr>
              <w:spacing w:after="50" w:before="50"/>
            </w:pPr>
            <w:r/>
            <w:r>
              <w:rPr>
                <w:rFonts w:ascii="Calibri" w:hAnsi="Calibri" w:eastAsia="Calibri"/>
                <w:b w:val="0"/>
                <w:i w:val="0"/>
                <w:color w:val="1E293B"/>
                <w:sz w:val="17"/>
              </w:rPr>
              <w:t>Mesure de cybersécurité délibérée : l'accès public direct est coupé. Lancer Ouvrir_Adminer.bat pour accéder via le tunnel local sécurisé http://127.0.0.1:8088 sans aucune installation logicielle locale.</w:t>
            </w:r>
          </w:p>
        </w:tc>
      </w:tr>
    </w:tbl>
    <w:p>
      <w:pPr>
        <w:spacing w:after="40"/>
      </w:pPr>
    </w:p>
    <w:p>
      <w:pPr>
        <w:spacing w:before="40" w:after="120"/>
        <w:pBdr>
          <w:bottom w:val="single" w:sz="12" w:space="1" w:color="C9A84A"/>
        </w:pBdr>
      </w:pPr>
    </w:p>
    <w:p>
      <w:pPr>
        <w:spacing w:after="100" w:line="240" w:lineRule="auto"/>
        <w:jc w:val="center"/>
      </w:pPr>
      <w:r>
        <w:rPr>
          <w:rFonts w:ascii="Calibri" w:hAnsi="Calibri" w:eastAsia="Calibri"/>
          <w:b w:val="0"/>
          <w:i/>
          <w:color w:val="4A5568"/>
          <w:sz w:val="16"/>
        </w:rPr>
        <w:t>LexHub · Guide d'utilisation et de tests de production · Projet de Fin d'Année (PFA) · Document certifié conforme à la version déployée en production (https://lexhub.space) · 2026</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