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80000" cy="10941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lexhu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94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i w:val="0"/>
          <w:color w:val="0A1228"/>
          <w:sz w:val="40"/>
        </w:rPr>
        <w:t>LexHub — Guide d’utilisation &amp; de test</w:t>
      </w:r>
    </w:p>
    <w:p>
      <w:pPr>
        <w:jc w:val="center"/>
      </w:pPr>
      <w:r>
        <w:rPr>
          <w:rFonts w:ascii="Calibri" w:hAnsi="Calibri" w:eastAsia="Calibri"/>
          <w:b w:val="0"/>
          <w:i/>
          <w:color w:val="4A5568"/>
          <w:sz w:val="22"/>
        </w:rPr>
        <w:t>Aligné sur la production déployée · https://lexhub.space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C9A84A"/>
          <w:sz w:val="20"/>
        </w:rPr>
        <w:t>Comptes de test · rôles · parcours · septembre 2026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0"/>
        </w:rPr>
        <w:t>Ce document décrit UNIQUEMENT ce qui tourne aujourd’hui sur lexhub.space (API /api/billing/plans + interface réelle). Utilisez le sommaire pour aller à une section, puis revenez-y dès que vous changez de sujet.</w:t>
      </w:r>
    </w:p>
    <w:p>
      <w:pPr>
        <w:spacing w:after="120" w:line="240" w:lineRule="auto"/>
      </w:pPr>
      <w:r>
        <w:rPr>
          <w:rFonts w:ascii="Calibri" w:hAnsi="Calibri" w:eastAsia="Calibri"/>
          <w:b/>
          <w:i w:val="0"/>
          <w:color w:val="9A341C"/>
          <w:sz w:val="18"/>
        </w:rPr>
        <w:t>Important : Ne pas utiliser d’anciennes grilles (ex. 10/50/200/500 plaidoiries) : la prod est 3 / 35 / 120 / 350 plaidoiries et 50 / 600 / 2 000 / 5 000 crédits IA.</w:t>
      </w:r>
    </w:p>
    <w:p>
      <w:pPr>
        <w:pStyle w:val="Heading1"/>
      </w:pPr>
      <w:r>
        <w:rPr>
          <w:color w:val="0A1228"/>
        </w:rPr>
        <w:t>Sommaire</w:t>
      </w:r>
    </w:p>
    <w:p>
      <w:pPr>
        <w:spacing w:after="40" w:line="240" w:lineRule="auto"/>
      </w:pPr>
      <w:r>
        <w:rPr>
          <w:rFonts w:ascii="Calibri" w:hAnsi="Calibri" w:eastAsia="Calibri"/>
          <w:b w:val="0"/>
          <w:i w:val="0"/>
          <w:sz w:val="22"/>
        </w:rPr>
        <w:t>1. Démarrage en 2 minutes</w:t>
      </w:r>
    </w:p>
    <w:p>
      <w:pPr>
        <w:spacing w:after="40" w:line="240" w:lineRule="auto"/>
      </w:pPr>
      <w:r>
        <w:rPr>
          <w:rFonts w:ascii="Calibri" w:hAnsi="Calibri" w:eastAsia="Calibri"/>
          <w:b w:val="0"/>
          <w:i w:val="0"/>
          <w:sz w:val="22"/>
        </w:rPr>
        <w:t>2. Comptes de test</w:t>
      </w:r>
    </w:p>
    <w:p>
      <w:pPr>
        <w:spacing w:after="40" w:line="240" w:lineRule="auto"/>
      </w:pPr>
      <w:r>
        <w:rPr>
          <w:rFonts w:ascii="Calibri" w:hAnsi="Calibri" w:eastAsia="Calibri"/>
          <w:b w:val="0"/>
          <w:i w:val="0"/>
          <w:sz w:val="22"/>
        </w:rPr>
        <w:t>3. Acteurs &amp; rôles (matrice)</w:t>
      </w:r>
    </w:p>
    <w:p>
      <w:pPr>
        <w:spacing w:after="40" w:line="240" w:lineRule="auto"/>
      </w:pPr>
      <w:r>
        <w:rPr>
          <w:rFonts w:ascii="Calibri" w:hAnsi="Calibri" w:eastAsia="Calibri"/>
          <w:b w:val="0"/>
          <w:i w:val="0"/>
          <w:sz w:val="22"/>
        </w:rPr>
        <w:t>4. Menus réels de l’application</w:t>
      </w:r>
    </w:p>
    <w:p>
      <w:pPr>
        <w:spacing w:after="40" w:line="240" w:lineRule="auto"/>
      </w:pPr>
      <w:r>
        <w:rPr>
          <w:rFonts w:ascii="Calibri" w:hAnsi="Calibri" w:eastAsia="Calibri"/>
          <w:b w:val="0"/>
          <w:i w:val="0"/>
          <w:sz w:val="22"/>
        </w:rPr>
        <w:t>5. Pages publiques</w:t>
      </w:r>
    </w:p>
    <w:p>
      <w:pPr>
        <w:spacing w:after="40" w:line="240" w:lineRule="auto"/>
      </w:pPr>
      <w:r>
        <w:rPr>
          <w:rFonts w:ascii="Calibri" w:hAnsi="Calibri" w:eastAsia="Calibri"/>
          <w:b w:val="0"/>
          <w:i w:val="0"/>
          <w:sz w:val="22"/>
        </w:rPr>
        <w:t>6. Connexion / langue / déconnexion</w:t>
      </w:r>
    </w:p>
    <w:p>
      <w:pPr>
        <w:spacing w:after="40" w:line="240" w:lineRule="auto"/>
      </w:pPr>
      <w:r>
        <w:rPr>
          <w:rFonts w:ascii="Calibri" w:hAnsi="Calibri" w:eastAsia="Calibri"/>
          <w:b w:val="0"/>
          <w:i w:val="0"/>
          <w:sz w:val="22"/>
        </w:rPr>
        <w:t>7. Tableau de bord</w:t>
      </w:r>
    </w:p>
    <w:p>
      <w:pPr>
        <w:spacing w:after="40" w:line="240" w:lineRule="auto"/>
      </w:pPr>
      <w:r>
        <w:rPr>
          <w:rFonts w:ascii="Calibri" w:hAnsi="Calibri" w:eastAsia="Calibri"/>
          <w:b w:val="0"/>
          <w:i w:val="0"/>
          <w:sz w:val="22"/>
        </w:rPr>
        <w:t>8. Plaidoirie — 5 étapes déployées</w:t>
      </w:r>
    </w:p>
    <w:p>
      <w:pPr>
        <w:spacing w:after="40" w:line="240" w:lineRule="auto"/>
      </w:pPr>
      <w:r>
        <w:rPr>
          <w:rFonts w:ascii="Calibri" w:hAnsi="Calibri" w:eastAsia="Calibri"/>
          <w:b w:val="0"/>
          <w:i w:val="0"/>
          <w:sz w:val="22"/>
        </w:rPr>
        <w:t>9. Dossiers, pièces, clé de barre</w:t>
      </w:r>
    </w:p>
    <w:p>
      <w:pPr>
        <w:spacing w:after="40" w:line="240" w:lineRule="auto"/>
      </w:pPr>
      <w:r>
        <w:rPr>
          <w:rFonts w:ascii="Calibri" w:hAnsi="Calibri" w:eastAsia="Calibri"/>
          <w:b w:val="0"/>
          <w:i w:val="0"/>
          <w:sz w:val="22"/>
        </w:rPr>
        <w:t>10. Documents · Planning · Activité · Équipe</w:t>
      </w:r>
    </w:p>
    <w:p>
      <w:pPr>
        <w:spacing w:after="40" w:line="240" w:lineRule="auto"/>
      </w:pPr>
      <w:r>
        <w:rPr>
          <w:rFonts w:ascii="Calibri" w:hAnsi="Calibri" w:eastAsia="Calibri"/>
          <w:b w:val="0"/>
          <w:i w:val="0"/>
          <w:sz w:val="22"/>
        </w:rPr>
        <w:t>11. Paramètres · Plan &amp; usage · parrainage · usage à la demande</w:t>
      </w:r>
    </w:p>
    <w:p>
      <w:pPr>
        <w:spacing w:after="40" w:line="240" w:lineRule="auto"/>
      </w:pPr>
      <w:r>
        <w:rPr>
          <w:rFonts w:ascii="Calibri" w:hAnsi="Calibri" w:eastAsia="Calibri"/>
          <w:b w:val="0"/>
          <w:i w:val="0"/>
          <w:sz w:val="22"/>
        </w:rPr>
        <w:t>12. Plans &amp; quotas EXACTS (prod)</w:t>
      </w:r>
    </w:p>
    <w:p>
      <w:pPr>
        <w:spacing w:after="40" w:line="240" w:lineRule="auto"/>
      </w:pPr>
      <w:r>
        <w:rPr>
          <w:rFonts w:ascii="Calibri" w:hAnsi="Calibri" w:eastAsia="Calibri"/>
          <w:b w:val="0"/>
          <w:i w:val="0"/>
          <w:sz w:val="22"/>
        </w:rPr>
        <w:t>13. Admin plateforme WEBVOICE</w:t>
      </w:r>
    </w:p>
    <w:p>
      <w:pPr>
        <w:spacing w:after="40" w:line="240" w:lineRule="auto"/>
      </w:pPr>
      <w:r>
        <w:rPr>
          <w:rFonts w:ascii="Calibri" w:hAnsi="Calibri" w:eastAsia="Calibri"/>
          <w:b w:val="0"/>
          <w:i w:val="0"/>
          <w:sz w:val="22"/>
        </w:rPr>
        <w:t>14. Scénarios de visite</w:t>
      </w:r>
    </w:p>
    <w:p>
      <w:pPr>
        <w:spacing w:after="40" w:line="240" w:lineRule="auto"/>
      </w:pPr>
      <w:r>
        <w:rPr>
          <w:rFonts w:ascii="Calibri" w:hAnsi="Calibri" w:eastAsia="Calibri"/>
          <w:b w:val="0"/>
          <w:i w:val="0"/>
          <w:sz w:val="22"/>
        </w:rPr>
        <w:t>15. Problèmes fréquents</w:t>
      </w:r>
    </w:p>
    <w:p>
      <w:pPr>
        <w:spacing w:after="40" w:line="240" w:lineRule="auto"/>
      </w:pPr>
      <w:r>
        <w:rPr>
          <w:rFonts w:ascii="Calibri" w:hAnsi="Calibri" w:eastAsia="Calibri"/>
          <w:b w:val="0"/>
          <w:i w:val="0"/>
          <w:sz w:val="22"/>
        </w:rPr>
        <w:t>16. Checklist « j’ai tout vu »</w:t>
      </w:r>
    </w:p>
    <w:p>
      <w:pPr>
        <w:pStyle w:val="Heading1"/>
      </w:pPr>
      <w:r>
        <w:rPr>
          <w:color w:val="0A1228"/>
        </w:rPr>
        <w:t>1. Démarrage en 2 minutes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Ouvrir https://lexhub.space dans Google Chrome (micro plus fiable).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Connexion → compte demo@sanad.ma / Sanad2026! (§2).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Suivre le scénario A (§14) pour une visite cabinet complète.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/>
          <w:color w:val="4A5568"/>
          <w:sz w:val="18"/>
        </w:rPr>
        <w:t>Astuce : Hard refresh Ctrl+F5 si l’écran semble ancien (cache).</w:t>
      </w:r>
    </w:p>
    <w:p>
      <w:pPr>
        <w:pStyle w:val="Heading1"/>
      </w:pPr>
      <w:r>
        <w:rPr>
          <w:color w:val="0A1228"/>
        </w:rPr>
        <w:t>2. Comptes de test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0"/>
        </w:rPr>
        <w:t>Créés par le script seed_test_accounts.py. Toujours se déconnecter avant de changer de compte.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E-mail</w:t>
            </w:r>
          </w:p>
        </w:tc>
        <w:tc>
          <w:tcPr>
            <w:tcW w:type="dxa" w:w="2062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Mot de passe</w:t>
            </w:r>
          </w:p>
        </w:tc>
        <w:tc>
          <w:tcPr>
            <w:tcW w:type="dxa" w:w="2062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Rôle</w:t>
            </w:r>
          </w:p>
        </w:tc>
        <w:tc>
          <w:tcPr>
            <w:tcW w:type="dxa" w:w="2062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Cabinet</w:t>
            </w:r>
          </w:p>
        </w:tc>
        <w:tc>
          <w:tcPr>
            <w:tcW w:type="dxa" w:w="2062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Pour tester</w:t>
            </w:r>
          </w:p>
        </w:tc>
      </w:tr>
      <w:tr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demo@sanad.ma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Sanad2026!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Admin cabinet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Démo Atlas (Casa)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Tout : équipe, abo, plaidoirie, dossiers</w:t>
            </w:r>
          </w:p>
        </w:tc>
      </w:tr>
      <w:tr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avocat@sanad.ma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Sanad2026!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Avocat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Démo Atlas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Dictée / dossiers — pas Équipe ni paiement</w:t>
            </w:r>
          </w:p>
        </w:tc>
      </w:tr>
      <w:tr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assistant@sanad.ma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Sanad2026!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Assistant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Démo Atlas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Pièces + lecture ; menu « Plaidoiries validées »</w:t>
            </w:r>
          </w:p>
        </w:tc>
      </w:tr>
      <w:tr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test@cabinet-rabat.ma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Test2026!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Admin cabinet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Test Rabat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Isolation : ne voit PAS Atlas</w:t>
            </w:r>
          </w:p>
        </w:tc>
      </w:tr>
      <w:tr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admin@webvoice.ma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WebVoice2026!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Admin plateforme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WEBVOICE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/admin — pas les dossiers clients</w:t>
            </w:r>
          </w:p>
        </w:tc>
      </w:tr>
    </w:tbl>
    <w:p/>
    <w:p>
      <w:pPr>
        <w:pStyle w:val="Heading1"/>
      </w:pPr>
      <w:r>
        <w:rPr>
          <w:color w:val="0A1228"/>
        </w:rPr>
        <w:t>3. Acteurs &amp; rôles (matrice)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Action</w:t>
            </w:r>
          </w:p>
        </w:tc>
        <w:tc>
          <w:tcPr>
            <w:tcW w:type="dxa" w:w="2062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Admin cabinet</w:t>
            </w:r>
          </w:p>
        </w:tc>
        <w:tc>
          <w:tcPr>
            <w:tcW w:type="dxa" w:w="2062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Avocat</w:t>
            </w:r>
          </w:p>
        </w:tc>
        <w:tc>
          <w:tcPr>
            <w:tcW w:type="dxa" w:w="2062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Assistant</w:t>
            </w:r>
          </w:p>
        </w:tc>
        <w:tc>
          <w:tcPr>
            <w:tcW w:type="dxa" w:w="2062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Admin plateforme</w:t>
            </w:r>
          </w:p>
        </w:tc>
      </w:tr>
      <w:tr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Espace après login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Cabinet (/dashboard)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Cabinet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Cabinet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/admin</w:t>
            </w:r>
          </w:p>
        </w:tc>
      </w:tr>
      <w:tr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Menu Plaidoirie (dictée IA)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Oui (= avocat + admin)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Oui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Non → « Plaidoiries validées »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Non</w:t>
            </w:r>
          </w:p>
        </w:tc>
      </w:tr>
      <w:tr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Créer / supprimer dossier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Oui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Oui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Non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Non</w:t>
            </w:r>
          </w:p>
        </w:tc>
      </w:tr>
      <w:tr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Déposer pièces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Oui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Oui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Oui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Non</w:t>
            </w:r>
          </w:p>
        </w:tc>
      </w:tr>
      <w:tr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Supprimer pièces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Oui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Oui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Non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Non</w:t>
            </w:r>
          </w:p>
        </w:tc>
      </w:tr>
      <w:tr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Clé de barre IA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Oui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Oui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Non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Non</w:t>
            </w:r>
          </w:p>
        </w:tc>
      </w:tr>
      <w:tr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Export Word/PDF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Oui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Oui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Limité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Non</w:t>
            </w:r>
          </w:p>
        </w:tc>
      </w:tr>
      <w:tr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Planning + Activité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Oui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Oui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Oui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Non</w:t>
            </w:r>
          </w:p>
        </w:tc>
      </w:tr>
      <w:tr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Équipe (invites)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Oui (seul)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Non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Non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Non</w:t>
            </w:r>
          </w:p>
        </w:tc>
      </w:tr>
      <w:tr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Plan &amp; usage / payer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Oui (seul)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Quotas lecture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Quotas lecture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Non</w:t>
            </w:r>
          </w:p>
        </w:tc>
      </w:tr>
      <w:tr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Parrainage (code)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Oui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Voir / partager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Non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Non</w:t>
            </w:r>
          </w:p>
        </w:tc>
      </w:tr>
      <w:tr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Zone sensible (quitter / supprimer son compte)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Oui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Oui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Oui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Non</w:t>
            </w:r>
          </w:p>
        </w:tc>
      </w:tr>
      <w:tr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Suspendre / supprimer cabinet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Non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Non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Non</w:t>
            </w:r>
          </w:p>
        </w:tc>
        <w:tc>
          <w:tcPr>
            <w:tcW w:type="dxa" w:w="20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Oui</w:t>
            </w:r>
          </w:p>
        </w:tc>
      </w:tr>
      <w:tr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Éditer plans plateforme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Non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Non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Non</w:t>
            </w:r>
          </w:p>
        </w:tc>
        <w:tc>
          <w:tcPr>
            <w:tcW w:type="dxa" w:w="20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Oui</w:t>
            </w:r>
          </w:p>
        </w:tc>
      </w:tr>
    </w:tbl>
    <w:p/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Admin cabinet = avocat responsable du cabinet : fait aussi le produit (dictée, dossiers, clé de barre, export) + paie, invite l’équipe, configure logo / abonnement.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Avocat = même produit (dictée, dossiers, pièces, export), sans gérer l’abonnement ni l’équipe.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Assistant = aide pièces / lecture / plaidoiries validées ; pas d’IA lourde ni suppression.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Admin plateforme = ops LexHub (WEBVOICE) : cabinets, plans, logs — pas le travail quotidien d’un dossier client.</w:t>
      </w:r>
    </w:p>
    <w:p>
      <w:pPr>
        <w:pStyle w:val="Heading1"/>
      </w:pPr>
      <w:r>
        <w:rPr>
          <w:color w:val="0A1228"/>
        </w:rPr>
        <w:t>4. Menus réels de l’application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0"/>
        </w:rPr>
        <w:t>Dock latéral gauche (compte cabinet) — libellés FR déployés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Menu (icône)</w:t>
            </w:r>
          </w:p>
        </w:tc>
        <w:tc>
          <w:tcPr>
            <w:tcW w:type="dxa" w:w="3437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URL</w:t>
            </w:r>
          </w:p>
        </w:tc>
        <w:tc>
          <w:tcPr>
            <w:tcW w:type="dxa" w:w="3437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Visible pour</w:t>
            </w:r>
          </w:p>
        </w:tc>
      </w:tr>
      <w:tr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Logo → Tableau de bord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/dashboard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Tous rôles cabinet</w:t>
            </w:r>
          </w:p>
        </w:tc>
      </w:tr>
      <w:tr>
        <w:tc>
          <w:tcPr>
            <w:tcW w:type="dxa" w:w="3437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Plaidoirie</w:t>
            </w:r>
          </w:p>
        </w:tc>
        <w:tc>
          <w:tcPr>
            <w:tcW w:type="dxa" w:w="3437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/redaction</w:t>
            </w:r>
          </w:p>
        </w:tc>
        <w:tc>
          <w:tcPr>
            <w:tcW w:type="dxa" w:w="3437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Admin + Avocat</w:t>
            </w:r>
          </w:p>
        </w:tc>
      </w:tr>
      <w:tr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Plaidoiries validées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/redaction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Assistant (même URL, UI différente)</w:t>
            </w:r>
          </w:p>
        </w:tc>
      </w:tr>
      <w:tr>
        <w:tc>
          <w:tcPr>
            <w:tcW w:type="dxa" w:w="3437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Dossiers</w:t>
            </w:r>
          </w:p>
        </w:tc>
        <w:tc>
          <w:tcPr>
            <w:tcW w:type="dxa" w:w="3437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/cases</w:t>
            </w:r>
          </w:p>
        </w:tc>
        <w:tc>
          <w:tcPr>
            <w:tcW w:type="dxa" w:w="3437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Tous</w:t>
            </w:r>
          </w:p>
        </w:tc>
      </w:tr>
      <w:tr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Documents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/documents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Tous</w:t>
            </w:r>
          </w:p>
        </w:tc>
      </w:tr>
      <w:tr>
        <w:tc>
          <w:tcPr>
            <w:tcW w:type="dxa" w:w="3437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Planning</w:t>
            </w:r>
          </w:p>
        </w:tc>
        <w:tc>
          <w:tcPr>
            <w:tcW w:type="dxa" w:w="3437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/agenda</w:t>
            </w:r>
          </w:p>
        </w:tc>
        <w:tc>
          <w:tcPr>
            <w:tcW w:type="dxa" w:w="3437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Tous</w:t>
            </w:r>
          </w:p>
        </w:tc>
      </w:tr>
      <w:tr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Activité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/activity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Tous</w:t>
            </w:r>
          </w:p>
        </w:tc>
      </w:tr>
      <w:tr>
        <w:tc>
          <w:tcPr>
            <w:tcW w:type="dxa" w:w="3437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Équipe</w:t>
            </w:r>
          </w:p>
        </w:tc>
        <w:tc>
          <w:tcPr>
            <w:tcW w:type="dxa" w:w="3437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/team</w:t>
            </w:r>
          </w:p>
        </w:tc>
        <w:tc>
          <w:tcPr>
            <w:tcW w:type="dxa" w:w="3437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Admin cabinet seulement</w:t>
            </w:r>
          </w:p>
        </w:tc>
      </w:tr>
    </w:tbl>
    <w:p/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0"/>
        </w:rPr>
        <w:t>Paramètres : icône compte / menu profil → /settings (pas dans le dock). Sections : Général · Cabinet (admin) · Plan &amp; usage · Sécurité · Zone sensible.</w:t>
      </w:r>
    </w:p>
    <w:p>
      <w:pPr>
        <w:pStyle w:val="Heading1"/>
      </w:pPr>
      <w:r>
        <w:rPr>
          <w:color w:val="0A1228"/>
        </w:rPr>
        <w:t>5. Pages publiques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Landing : / — produit, FAQ, section #parrainage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Tarifs : /tarifs — grille live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Fonctionnalités, Sécurité, À propos, Aide, Contact, Mentions, Confidentialité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Login / inscription : /login</w:t>
      </w:r>
    </w:p>
    <w:p>
      <w:pPr>
        <w:pStyle w:val="Heading1"/>
      </w:pPr>
      <w:r>
        <w:rPr>
          <w:color w:val="0A1228"/>
        </w:rPr>
        <w:t>6. Connexion / langue / déconnexion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/login → e-mail + mot de passe §2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Basculer FR ↔ AR (commutateur en-tête)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Déconnexion : menu compte (haut droite)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/>
          <w:color w:val="4A5568"/>
          <w:sz w:val="18"/>
        </w:rPr>
        <w:t>Astuce : Inscription réelle : OTP e-mail + infos cabinet + code parrainage optionnel. Pour la démo, utilisez les comptes seed.</w:t>
      </w:r>
    </w:p>
    <w:p>
      <w:pPr>
        <w:pStyle w:val="Heading1"/>
      </w:pPr>
      <w:r>
        <w:rPr>
          <w:color w:val="0A1228"/>
        </w:rPr>
        <w:t>7. Tableau de bord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0"/>
        </w:rPr>
        <w:t>Après login cabinet : /dashboard. Bannière d’abonnement possible (essai, Découverte…). Popups possibles : compléter profil, plans, parrainage — fermer ou suivre.</w:t>
      </w:r>
    </w:p>
    <w:p>
      <w:pPr>
        <w:pStyle w:val="Heading1"/>
      </w:pPr>
      <w:r>
        <w:rPr>
          <w:color w:val="0A1228"/>
        </w:rPr>
        <w:t>8. Plaidoirie — 5 étapes déployées</w:t>
      </w:r>
    </w:p>
    <w:p>
      <w:pPr>
        <w:spacing w:after="120" w:line="240" w:lineRule="auto"/>
      </w:pPr>
      <w:r>
        <w:rPr>
          <w:rFonts w:ascii="Calibri" w:hAnsi="Calibri" w:eastAsia="Calibri"/>
          <w:b/>
          <w:i w:val="0"/>
          <w:sz w:val="20"/>
        </w:rPr>
        <w:t>Compte : avocat@sanad.ma ou demo@sanad.ma. Pipeline UI réel (plea-step-carousel)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Étape</w:t>
            </w:r>
          </w:p>
        </w:tc>
        <w:tc>
          <w:tcPr>
            <w:tcW w:type="dxa" w:w="3437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Nom FR (UI réelle)</w:t>
            </w:r>
          </w:p>
        </w:tc>
        <w:tc>
          <w:tcPr>
            <w:tcW w:type="dxa" w:w="3437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Ce que vous faites</w:t>
            </w:r>
          </w:p>
        </w:tc>
      </w:tr>
      <w:tr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Dossier &amp; pièces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Lier le dossier · joindre / vérifier les pièces</w:t>
            </w:r>
          </w:p>
        </w:tc>
      </w:tr>
      <w:tr>
        <w:tc>
          <w:tcPr>
            <w:tcW w:type="dxa" w:w="3437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3437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Dictée</w:t>
            </w:r>
          </w:p>
        </w:tc>
        <w:tc>
          <w:tcPr>
            <w:tcW w:type="dxa" w:w="3437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Micro Chrome ou fichier audio — parler en arabe</w:t>
            </w:r>
          </w:p>
        </w:tc>
      </w:tr>
      <w:tr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Transcription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Corriger / vérifier le texte STT</w:t>
            </w:r>
          </w:p>
        </w:tc>
      </w:tr>
      <w:tr>
        <w:tc>
          <w:tcPr>
            <w:tcW w:type="dxa" w:w="3437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3437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Rédaction IA</w:t>
            </w:r>
          </w:p>
        </w:tc>
        <w:tc>
          <w:tcPr>
            <w:tcW w:type="dxa" w:w="3437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Génération / révision — toujours à relire</w:t>
            </w:r>
          </w:p>
        </w:tc>
      </w:tr>
      <w:tr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Export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Word · PDF · modèle (en-tête cabinet)</w:t>
            </w:r>
          </w:p>
        </w:tc>
      </w:tr>
    </w:tbl>
    <w:p/>
    <w:p>
      <w:pPr>
        <w:spacing w:after="120" w:line="240" w:lineRule="auto"/>
      </w:pPr>
      <w:r>
        <w:rPr>
          <w:rFonts w:ascii="Calibri" w:hAnsi="Calibri" w:eastAsia="Calibri"/>
          <w:b w:val="0"/>
          <w:i/>
          <w:color w:val="4A5568"/>
          <w:sz w:val="18"/>
        </w:rPr>
        <w:t>Astuce : Assistant : pas cette pipeline complète — accès « Plaidoiries validées » seulement.</w:t>
      </w:r>
    </w:p>
    <w:p>
      <w:pPr>
        <w:pStyle w:val="Heading1"/>
      </w:pPr>
      <w:r>
        <w:rPr>
          <w:color w:val="0A1228"/>
        </w:rPr>
        <w:t>9. Dossiers, pièces, clé de barre</w:t>
      </w:r>
    </w:p>
    <w:p>
      <w:pPr>
        <w:pStyle w:val="Heading2"/>
      </w:pPr>
      <w:r>
        <w:rPr>
          <w:color w:val="0A1228"/>
        </w:rPr>
        <w:t>9.1 Dossiers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Menu Dossiers → créer (admin/avocat) ou ouvrir.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Déposer des pièces ; attendre l’indexation avant l’IA.</w:t>
      </w:r>
    </w:p>
    <w:p>
      <w:pPr>
        <w:pStyle w:val="Heading2"/>
      </w:pPr>
      <w:r>
        <w:rPr>
          <w:color w:val="0A1228"/>
        </w:rPr>
        <w:t>9.2 Clé de barre (fiche orale)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0"/>
        </w:rPr>
        <w:t>Ce n’est PAS un mot de passe. C’est une trame orale (faits / moyens / demandes / points d’audience) générée depuis les pièces du dossier pour aider à plaider à l’audience.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Ouvrir un dossier avec pièces indexées.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Bouton « Clé de barre IA » sur la fiche dossier.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Lire le texte à l’écran — responsabilité de l’avocat.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/>
          <w:color w:val="4A5568"/>
          <w:sz w:val="18"/>
        </w:rPr>
        <w:t>Astuce : Coûte 8 crédits IA + 1 unité du quota « clé de barre » du plan.</w:t>
      </w:r>
    </w:p>
    <w:p>
      <w:pPr>
        <w:pStyle w:val="Heading1"/>
      </w:pPr>
      <w:r>
        <w:rPr>
          <w:color w:val="0A1228"/>
        </w:rPr>
        <w:t>10. Documents · Planning · Activité · Équipe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Documents (/documents) : toutes les pièces du cabinet.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Planning (/agenda) : échéances / audiences.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Activité (/activity) : journal du cabinet.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Équipe (/team) : admin only — invite e-mail ou code join ; rôles avocat / assistant / admin.</w:t>
      </w:r>
    </w:p>
    <w:p>
      <w:pPr>
        <w:pStyle w:val="Heading1"/>
      </w:pPr>
      <w:r>
        <w:rPr>
          <w:color w:val="0A1228"/>
        </w:rPr>
        <w:t>11. Paramètres · Plan &amp; usage · parrainage · usage à la demande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Ouvrir /settings → section Plan &amp; usage (admin gère ; autres voient quotas).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Usage à la demande : OFF par défaut. Activé = ~0,25 MAD / crédit hors forfait (sans plafond ou avec plafond MAD). Jamais silencieux. Indisponible sur Découverte.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Parrainage : copier code LH-… ou lien ?ref=CODE. Filleul : +14 jours d’essai quand il démarre Solo/Cabinet. Parrain : +30 jours (~1 mois) quand le filleul devient payant après l’essai. Max 12 / an · pas d’auto-parrainage.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Cabinet : logo, nom AR (exports). Sécurité : mot de passe / 2FA. Zone sensible : fermer compte.</w:t>
      </w:r>
    </w:p>
    <w:p>
      <w:pPr>
        <w:pStyle w:val="Heading1"/>
      </w:pPr>
      <w:r>
        <w:rPr>
          <w:color w:val="0A1228"/>
        </w:rPr>
        <w:t>12. Plans &amp; quotas EXACTS (prod)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/>
          <w:color w:val="4A5568"/>
          <w:sz w:val="18"/>
        </w:rPr>
        <w:t>Vérifié via https://lexhub.space/api/billing/plans — ne pas recopier d’anciens PDF.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89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Plan</w:t>
            </w:r>
          </w:p>
        </w:tc>
        <w:tc>
          <w:tcPr>
            <w:tcW w:type="dxa" w:w="1289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MAD/mois</w:t>
            </w:r>
          </w:p>
        </w:tc>
        <w:tc>
          <w:tcPr>
            <w:tcW w:type="dxa" w:w="1289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MAD/an</w:t>
            </w:r>
          </w:p>
        </w:tc>
        <w:tc>
          <w:tcPr>
            <w:tcW w:type="dxa" w:w="1289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Essai</w:t>
            </w:r>
          </w:p>
        </w:tc>
        <w:tc>
          <w:tcPr>
            <w:tcW w:type="dxa" w:w="1289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Sièges</w:t>
            </w:r>
          </w:p>
        </w:tc>
        <w:tc>
          <w:tcPr>
            <w:tcW w:type="dxa" w:w="1289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Dossiers</w:t>
            </w:r>
          </w:p>
        </w:tc>
        <w:tc>
          <w:tcPr>
            <w:tcW w:type="dxa" w:w="1289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Plaidoiries/mois</w:t>
            </w:r>
          </w:p>
        </w:tc>
        <w:tc>
          <w:tcPr>
            <w:tcW w:type="dxa" w:w="1289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Crédits IA/mois</w:t>
            </w:r>
          </w:p>
        </w:tc>
      </w:tr>
      <w:tr>
        <w:tc>
          <w:tcPr>
            <w:tcW w:type="dxa" w:w="12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Découverte</w:t>
            </w:r>
          </w:p>
        </w:tc>
        <w:tc>
          <w:tcPr>
            <w:tcW w:type="dxa" w:w="12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0</w:t>
            </w:r>
          </w:p>
        </w:tc>
        <w:tc>
          <w:tcPr>
            <w:tcW w:type="dxa" w:w="12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2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2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 avocat · 0 assistant</w:t>
            </w:r>
          </w:p>
        </w:tc>
        <w:tc>
          <w:tcPr>
            <w:tcW w:type="dxa" w:w="12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12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12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50</w:t>
            </w:r>
          </w:p>
        </w:tc>
      </w:tr>
      <w:tr>
        <w:tc>
          <w:tcPr>
            <w:tcW w:type="dxa" w:w="1289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Solo</w:t>
            </w:r>
          </w:p>
        </w:tc>
        <w:tc>
          <w:tcPr>
            <w:tcW w:type="dxa" w:w="1289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299</w:t>
            </w:r>
          </w:p>
        </w:tc>
        <w:tc>
          <w:tcPr>
            <w:tcW w:type="dxa" w:w="1289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2 990</w:t>
            </w:r>
          </w:p>
        </w:tc>
        <w:tc>
          <w:tcPr>
            <w:tcW w:type="dxa" w:w="1289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14 j</w:t>
            </w:r>
          </w:p>
        </w:tc>
        <w:tc>
          <w:tcPr>
            <w:tcW w:type="dxa" w:w="1289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 avocat + 1 assistant</w:t>
            </w:r>
          </w:p>
        </w:tc>
        <w:tc>
          <w:tcPr>
            <w:tcW w:type="dxa" w:w="1289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∞</w:t>
            </w:r>
          </w:p>
        </w:tc>
        <w:tc>
          <w:tcPr>
            <w:tcW w:type="dxa" w:w="1289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35</w:t>
            </w:r>
          </w:p>
        </w:tc>
        <w:tc>
          <w:tcPr>
            <w:tcW w:type="dxa" w:w="1289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600</w:t>
            </w:r>
          </w:p>
        </w:tc>
      </w:tr>
      <w:tr>
        <w:tc>
          <w:tcPr>
            <w:tcW w:type="dxa" w:w="12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Cabinet ★</w:t>
            </w:r>
          </w:p>
        </w:tc>
        <w:tc>
          <w:tcPr>
            <w:tcW w:type="dxa" w:w="12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699</w:t>
            </w:r>
          </w:p>
        </w:tc>
        <w:tc>
          <w:tcPr>
            <w:tcW w:type="dxa" w:w="12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6 990</w:t>
            </w:r>
          </w:p>
        </w:tc>
        <w:tc>
          <w:tcPr>
            <w:tcW w:type="dxa" w:w="12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30 j</w:t>
            </w:r>
          </w:p>
        </w:tc>
        <w:tc>
          <w:tcPr>
            <w:tcW w:type="dxa" w:w="12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5 avocats + 3 assistants</w:t>
            </w:r>
          </w:p>
        </w:tc>
        <w:tc>
          <w:tcPr>
            <w:tcW w:type="dxa" w:w="12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∞</w:t>
            </w:r>
          </w:p>
        </w:tc>
        <w:tc>
          <w:tcPr>
            <w:tcW w:type="dxa" w:w="12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120</w:t>
            </w:r>
          </w:p>
        </w:tc>
        <w:tc>
          <w:tcPr>
            <w:tcW w:type="dxa" w:w="128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2 000</w:t>
            </w:r>
          </w:p>
        </w:tc>
      </w:tr>
      <w:tr>
        <w:tc>
          <w:tcPr>
            <w:tcW w:type="dxa" w:w="1289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Entreprise</w:t>
            </w:r>
          </w:p>
        </w:tc>
        <w:tc>
          <w:tcPr>
            <w:tcW w:type="dxa" w:w="1289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1 290</w:t>
            </w:r>
          </w:p>
        </w:tc>
        <w:tc>
          <w:tcPr>
            <w:tcW w:type="dxa" w:w="1289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12 900</w:t>
            </w:r>
          </w:p>
        </w:tc>
        <w:tc>
          <w:tcPr>
            <w:tcW w:type="dxa" w:w="1289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30 j</w:t>
            </w:r>
          </w:p>
        </w:tc>
        <w:tc>
          <w:tcPr>
            <w:tcW w:type="dxa" w:w="1289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15 avocats + 10 assistants</w:t>
            </w:r>
          </w:p>
        </w:tc>
        <w:tc>
          <w:tcPr>
            <w:tcW w:type="dxa" w:w="1289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∞</w:t>
            </w:r>
          </w:p>
        </w:tc>
        <w:tc>
          <w:tcPr>
            <w:tcW w:type="dxa" w:w="1289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350</w:t>
            </w:r>
          </w:p>
        </w:tc>
        <w:tc>
          <w:tcPr>
            <w:tcW w:type="dxa" w:w="1289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5 000</w:t>
            </w:r>
          </w:p>
        </w:tc>
      </w:tr>
    </w:tbl>
    <w:p/>
    <w:p>
      <w:pPr>
        <w:spacing w:after="120" w:line="240" w:lineRule="auto"/>
      </w:pPr>
      <w:r>
        <w:rPr>
          <w:rFonts w:ascii="Calibri" w:hAnsi="Calibri" w:eastAsia="Calibri"/>
          <w:b w:val="0"/>
          <w:i/>
          <w:sz w:val="18"/>
        </w:rPr>
        <w:t>∞ = illimité (−1 dans l’API). Annuel ≈ 10 mois payés / 12.</w:t>
      </w:r>
    </w:p>
    <w:p>
      <w:pPr>
        <w:pStyle w:val="Heading2"/>
      </w:pPr>
      <w:r>
        <w:rPr>
          <w:color w:val="0A1228"/>
        </w:rPr>
        <w:t>12.1 Quotas IA par action (prod)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1719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Action</w:t>
            </w:r>
          </w:p>
        </w:tc>
        <w:tc>
          <w:tcPr>
            <w:tcW w:type="dxa" w:w="1719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Crédits</w:t>
            </w:r>
          </w:p>
        </w:tc>
        <w:tc>
          <w:tcPr>
            <w:tcW w:type="dxa" w:w="1719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Découverte</w:t>
            </w:r>
          </w:p>
        </w:tc>
        <w:tc>
          <w:tcPr>
            <w:tcW w:type="dxa" w:w="1719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Solo</w:t>
            </w:r>
          </w:p>
        </w:tc>
        <w:tc>
          <w:tcPr>
            <w:tcW w:type="dxa" w:w="1719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Cabinet</w:t>
            </w:r>
          </w:p>
        </w:tc>
        <w:tc>
          <w:tcPr>
            <w:tcW w:type="dxa" w:w="1719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Entreprise</w:t>
            </w:r>
          </w:p>
        </w:tc>
      </w:tr>
      <w:tr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Rédaction plaidoirie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3*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35*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120*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350*</w:t>
            </w:r>
          </w:p>
        </w:tc>
      </w:tr>
      <w:tr>
        <w:tc>
          <w:tcPr>
            <w:tcW w:type="dxa" w:w="1719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Révision</w:t>
            </w:r>
          </w:p>
        </w:tc>
        <w:tc>
          <w:tcPr>
            <w:tcW w:type="dxa" w:w="1719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1719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1719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60</w:t>
            </w:r>
          </w:p>
        </w:tc>
        <w:tc>
          <w:tcPr>
            <w:tcW w:type="dxa" w:w="1719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250</w:t>
            </w:r>
          </w:p>
        </w:tc>
        <w:tc>
          <w:tcPr>
            <w:tcW w:type="dxa" w:w="1719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600</w:t>
            </w:r>
          </w:p>
        </w:tc>
      </w:tr>
      <w:tr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Analyse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50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150</w:t>
            </w:r>
          </w:p>
        </w:tc>
      </w:tr>
      <w:tr>
        <w:tc>
          <w:tcPr>
            <w:tcW w:type="dxa" w:w="1719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Synthèse</w:t>
            </w:r>
          </w:p>
        </w:tc>
        <w:tc>
          <w:tcPr>
            <w:tcW w:type="dxa" w:w="1719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1719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1719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25</w:t>
            </w:r>
          </w:p>
        </w:tc>
        <w:tc>
          <w:tcPr>
            <w:tcW w:type="dxa" w:w="1719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100</w:t>
            </w:r>
          </w:p>
        </w:tc>
        <w:tc>
          <w:tcPr>
            <w:tcW w:type="dxa" w:w="1719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300</w:t>
            </w:r>
          </w:p>
        </w:tc>
      </w:tr>
      <w:tr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Question (ask)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100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400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1 200</w:t>
            </w:r>
          </w:p>
        </w:tc>
      </w:tr>
      <w:tr>
        <w:tc>
          <w:tcPr>
            <w:tcW w:type="dxa" w:w="1719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Clé de barre (fiche orale)</w:t>
            </w:r>
          </w:p>
        </w:tc>
        <w:tc>
          <w:tcPr>
            <w:tcW w:type="dxa" w:w="1719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1719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1719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1719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50</w:t>
            </w:r>
          </w:p>
        </w:tc>
        <w:tc>
          <w:tcPr>
            <w:tcW w:type="dxa" w:w="1719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150</w:t>
            </w:r>
          </w:p>
        </w:tc>
      </w:tr>
      <w:tr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Budget crédits / mois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50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600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2 000</w:t>
            </w:r>
          </w:p>
        </w:tc>
        <w:tc>
          <w:tcPr>
            <w:tcW w:type="dxa" w:w="171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5 000</w:t>
            </w:r>
          </w:p>
        </w:tc>
      </w:tr>
    </w:tbl>
    <w:p/>
    <w:p>
      <w:pPr>
        <w:spacing w:after="120" w:line="240" w:lineRule="auto"/>
      </w:pPr>
      <w:r>
        <w:rPr>
          <w:rFonts w:ascii="Calibri" w:hAnsi="Calibri" w:eastAsia="Calibri"/>
          <w:b w:val="0"/>
          <w:i/>
          <w:sz w:val="18"/>
        </w:rPr>
        <w:t>* Plaidoiries = quota dédié + 10 crédits IA chacune. Plafonds journaliers crédits : 12 / 50 / 180 / 300. Slots parallèles IA : 1 / 1 / 2 / 3.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0"/>
        </w:rPr>
        <w:t>Paiement Maroc : CMI / PayZone (env prêt, activation opérateur). Essai carte : 0 MAD pendant l’essai ; résiliation avant la fin = pas de débit.</w:t>
      </w:r>
    </w:p>
    <w:p>
      <w:pPr>
        <w:pStyle w:val="Heading1"/>
      </w:pPr>
      <w:r>
        <w:rPr>
          <w:color w:val="0A1228"/>
        </w:rPr>
        <w:t>13. Admin plateforme WEBVOICE</w:t>
      </w:r>
    </w:p>
    <w:p>
      <w:pPr>
        <w:spacing w:after="120" w:line="240" w:lineRule="auto"/>
      </w:pPr>
      <w:r>
        <w:rPr>
          <w:rFonts w:ascii="Calibri" w:hAnsi="Calibri" w:eastAsia="Calibri"/>
          <w:b/>
          <w:i w:val="0"/>
          <w:sz w:val="20"/>
        </w:rPr>
        <w:t>Compte : admin@webvoice.ma / WebVoice2026!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Menu /admin</w:t>
            </w:r>
          </w:p>
        </w:tc>
        <w:tc>
          <w:tcPr>
            <w:tcW w:type="dxa" w:w="3437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URL</w:t>
            </w:r>
          </w:p>
        </w:tc>
        <w:tc>
          <w:tcPr>
            <w:tcW w:type="dxa" w:w="3437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Actions</w:t>
            </w:r>
          </w:p>
        </w:tc>
      </w:tr>
      <w:tr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Tableau de bord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/admin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Métriques plateforme</w:t>
            </w:r>
          </w:p>
        </w:tc>
      </w:tr>
      <w:tr>
        <w:tc>
          <w:tcPr>
            <w:tcW w:type="dxa" w:w="3437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Cabinets</w:t>
            </w:r>
          </w:p>
        </w:tc>
        <w:tc>
          <w:tcPr>
            <w:tcW w:type="dxa" w:w="3437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/admin/cabinets</w:t>
            </w:r>
          </w:p>
        </w:tc>
        <w:tc>
          <w:tcPr>
            <w:tcW w:type="dxa" w:w="3437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Détail, Suspendre/Activer, Supprimer (taper supprimer)</w:t>
            </w:r>
          </w:p>
        </w:tc>
      </w:tr>
      <w:tr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Plans &amp; tarifs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/admin/plans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Grille abonnements</w:t>
            </w:r>
          </w:p>
        </w:tc>
      </w:tr>
      <w:tr>
        <w:tc>
          <w:tcPr>
            <w:tcW w:type="dxa" w:w="3437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Journal d’audit</w:t>
            </w:r>
          </w:p>
        </w:tc>
        <w:tc>
          <w:tcPr>
            <w:tcW w:type="dxa" w:w="3437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/admin/logs</w:t>
            </w:r>
          </w:p>
        </w:tc>
        <w:tc>
          <w:tcPr>
            <w:tcW w:type="dxa" w:w="3437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Logs (IP masquée en UI)</w:t>
            </w:r>
          </w:p>
        </w:tc>
      </w:tr>
    </w:tbl>
    <w:p/>
    <w:p>
      <w:pPr>
        <w:spacing w:after="120" w:line="240" w:lineRule="auto"/>
      </w:pPr>
      <w:r>
        <w:rPr>
          <w:rFonts w:ascii="Calibri" w:hAnsi="Calibri" w:eastAsia="Calibri"/>
          <w:b/>
          <w:i w:val="0"/>
          <w:color w:val="9A341C"/>
          <w:sz w:val="18"/>
        </w:rPr>
        <w:t>Important : Supprimer un cabinet = définitif (comptes, dossiers, pièces). Cabinet « WebVoice Platform » protégé.</w:t>
      </w:r>
    </w:p>
    <w:p>
      <w:pPr>
        <w:pStyle w:val="Heading1"/>
      </w:pPr>
      <w:r>
        <w:rPr>
          <w:color w:val="0A1228"/>
        </w:rPr>
        <w:t>14. Scénarios de visite</w:t>
      </w:r>
    </w:p>
    <w:p>
      <w:pPr>
        <w:pStyle w:val="Heading2"/>
      </w:pPr>
      <w:r>
        <w:rPr>
          <w:color w:val="0A1228"/>
        </w:rPr>
        <w:t>A — Cabinet complet (~35 min) — demo@sanad.ma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Login → dashboard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Dossier → pièce → Clé de barre IA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Plaidoirie : étapes 1→5 (micro court) → export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Planning → événement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Équipe → voir membres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Paramètres → Plan &amp; usage → code parrainage + usage à la demande OFF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Déconnexion</w:t>
      </w:r>
    </w:p>
    <w:p>
      <w:pPr>
        <w:pStyle w:val="Heading2"/>
      </w:pPr>
      <w:r>
        <w:rPr>
          <w:color w:val="0A1228"/>
        </w:rPr>
        <w:t>B — Avocat vs assistant (~15 min)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avocat@sanad.ma → pas Équipe / pas paiement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assistant@sanad.ma → tenter supprimer dossier (refusé) ; menu Plaidoiries validées</w:t>
      </w:r>
    </w:p>
    <w:p>
      <w:pPr>
        <w:pStyle w:val="Heading2"/>
      </w:pPr>
      <w:r>
        <w:rPr>
          <w:color w:val="0A1228"/>
        </w:rPr>
        <w:t>C — Multi-tenant (~10 min)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test@cabinet-rabat.ma / Test2026! → pas de dossiers Atlas</w:t>
      </w:r>
    </w:p>
    <w:p>
      <w:pPr>
        <w:pStyle w:val="Heading2"/>
      </w:pPr>
      <w:r>
        <w:rPr>
          <w:color w:val="0A1228"/>
        </w:rPr>
        <w:t>D — Admin plateforme (~15 min)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admin@webvoice.ma → /admin/cabinets → détail (sans supprimer sans intention)</w:t>
      </w:r>
    </w:p>
    <w:p>
      <w:pPr>
        <w:pStyle w:val="Heading2"/>
      </w:pPr>
      <w:r>
        <w:rPr>
          <w:color w:val="0A1228"/>
        </w:rPr>
        <w:t>E — Public (~5 min)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Sans compte : landing #parrainage + /tarifs</w:t>
      </w:r>
    </w:p>
    <w:p>
      <w:pPr>
        <w:pStyle w:val="Heading1"/>
      </w:pPr>
      <w:r>
        <w:rPr>
          <w:color w:val="0A1228"/>
        </w:rPr>
        <w:t>15. Problèmes fréquents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Symptôme</w:t>
            </w:r>
          </w:p>
        </w:tc>
        <w:tc>
          <w:tcPr>
            <w:tcW w:type="dxa" w:w="3437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Cause</w:t>
            </w:r>
          </w:p>
        </w:tc>
        <w:tc>
          <w:tcPr>
            <w:tcW w:type="dxa" w:w="3437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Action</w:t>
            </w:r>
          </w:p>
        </w:tc>
      </w:tr>
      <w:tr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IA / clé de barre refusée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Quota ou rôle assistant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demo/avocat ou attendre / upgrader</w:t>
            </w:r>
          </w:p>
        </w:tc>
      </w:tr>
      <w:tr>
        <w:tc>
          <w:tcPr>
            <w:tcW w:type="dxa" w:w="3437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Message quota / « 402 »</w:t>
            </w:r>
          </w:p>
        </w:tc>
        <w:tc>
          <w:tcPr>
            <w:tcW w:type="dxa" w:w="3437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Forfait mois fini, usage OFF</w:t>
            </w:r>
          </w:p>
        </w:tc>
        <w:tc>
          <w:tcPr>
            <w:tcW w:type="dxa" w:w="3437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Admin : usage à la demande ou autre plan</w:t>
            </w:r>
          </w:p>
        </w:tc>
      </w:tr>
      <w:tr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Pas de menu Équipe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Pas admin cabinet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demo@sanad.ma</w:t>
            </w:r>
          </w:p>
        </w:tc>
      </w:tr>
      <w:tr>
        <w:tc>
          <w:tcPr>
            <w:tcW w:type="dxa" w:w="3437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Arrivé sur /admin</w:t>
            </w:r>
          </w:p>
        </w:tc>
        <w:tc>
          <w:tcPr>
            <w:tcW w:type="dxa" w:w="3437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Compte webvoice</w:t>
            </w:r>
          </w:p>
        </w:tc>
        <w:tc>
          <w:tcPr>
            <w:tcW w:type="dxa" w:w="3437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Déconnexion → demo@…</w:t>
            </w:r>
          </w:p>
        </w:tc>
      </w:tr>
      <w:tr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Micro KO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Navigateur / permission</w:t>
            </w:r>
          </w:p>
        </w:tc>
        <w:tc>
          <w:tcPr>
            <w:tcW w:type="dxa" w:w="343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Chrome + autoriser ; sinon fichier audio</w:t>
            </w:r>
          </w:p>
        </w:tc>
      </w:tr>
      <w:tr>
        <w:tc>
          <w:tcPr>
            <w:tcW w:type="dxa" w:w="3437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Écran « vieux »</w:t>
            </w:r>
          </w:p>
        </w:tc>
        <w:tc>
          <w:tcPr>
            <w:tcW w:type="dxa" w:w="3437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Cache</w:t>
            </w:r>
          </w:p>
        </w:tc>
        <w:tc>
          <w:tcPr>
            <w:tcW w:type="dxa" w:w="3437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Ctrl+F5</w:t>
            </w:r>
          </w:p>
        </w:tc>
      </w:tr>
    </w:tbl>
    <w:p/>
    <w:p>
      <w:pPr>
        <w:pStyle w:val="Heading1"/>
      </w:pPr>
      <w:r>
        <w:rPr>
          <w:color w:val="0A1228"/>
        </w:rPr>
        <w:t>16. Checklist « j’ai tout vu »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☐  Landing + #parrainage + /tarifs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☐  demo : dashboard, dossier, clé de barre, plaidoirie 5 étapes, planning, équipe, Plan &amp; usage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☐  avocat : limites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☐  assistant : limites + Plaidoiries validées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☐  Rabat : isolation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☐  admin plateforme : /admin/cabinets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/>
          <w:color w:val="4A5568"/>
          <w:sz w:val="16"/>
        </w:rPr>
        <w:t>Sources : GET https://lexhub.space/api/billing/plans · billing.py · referral.py · app-sidebar.tsx · plea-step-carousel.tsx · admin-shell.tsx · seed_test_accounts.py. Régénérer ce fichier : python docs/livraison-encadrant-2026/generate_guide_utilisation.py</w:t>
      </w:r>
    </w:p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