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6000" cy="9482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lexhu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948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i w:val="0"/>
          <w:color w:val="0B1A4D"/>
          <w:sz w:val="40"/>
        </w:rPr>
        <w:t>LexHub</w:t>
      </w:r>
    </w:p>
    <w:p>
      <w:pPr>
        <w:jc w:val="center"/>
      </w:pPr>
      <w:r>
        <w:rPr>
          <w:rFonts w:ascii="Calibri" w:hAnsi="Calibri" w:eastAsia="Calibri"/>
          <w:b/>
          <w:i w:val="0"/>
          <w:color w:val="0B1A4D"/>
          <w:sz w:val="28"/>
        </w:rPr>
        <w:t>Guide d’utilisation &amp; de tests</w:t>
      </w:r>
    </w:p>
    <w:p>
      <w:pPr>
        <w:jc w:val="center"/>
      </w:pPr>
      <w:r>
        <w:rPr>
          <w:rFonts w:ascii="Calibri" w:hAnsi="Calibri" w:eastAsia="Calibri"/>
          <w:b w:val="0"/>
          <w:i/>
          <w:color w:val="4A5568"/>
          <w:sz w:val="18"/>
        </w:rPr>
        <w:t>Production https://lexhub.space · 11/09/2026 · Comptes · rôles · parcours · billing · scénarios de test</w:t>
      </w:r>
    </w:p>
    <w:p>
      <w:pPr>
        <w:spacing w:before="40" w:after="160"/>
        <w:pBdr>
          <w:bottom w:val="single" w:sz="12" w:space="1" w:color="C9A84A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EF9EE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1A4D"/>
                <w:sz w:val="20"/>
              </w:rPr>
              <w:t>Comment utiliser ce guide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4A5568"/>
                <w:sz w:val="18"/>
              </w:rPr>
              <w:t>Partie A = prise en main (connexion, menus, rôles). Partie B = parcours métier pas à pas. Partie C = abonnement, essai, packs, factures. Partie D = scénarios de test à cocher. Partie E = admin plateforme WEBVOICE. Ne pas mélanger avec d’anciennes grilles de quotas : la référence est la production actuelle.</w:t>
            </w:r>
          </w:p>
        </w:tc>
      </w:tr>
    </w:tbl>
    <w:p/>
    <w:p>
      <w:pPr>
        <w:pStyle w:val="Heading1"/>
      </w:pPr>
      <w:r>
        <w:rPr>
          <w:color w:val="0B1A4D"/>
        </w:rPr>
        <w:t>Sommaire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18"/>
        </w:rPr>
        <w:t>PARTIE A — Prise en main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18"/>
        </w:rPr>
        <w:t xml:space="preserve">  A1. Démarrer en 2 minutes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18"/>
        </w:rPr>
        <w:t xml:space="preserve">  A2. Comptes de test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18"/>
        </w:rPr>
        <w:t xml:space="preserve">  A3. Rôles et droits (matrice)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18"/>
        </w:rPr>
        <w:t xml:space="preserve">  A4. Navigation réelle de l’application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18"/>
        </w:rPr>
        <w:t>PARTIE B — Parcours métier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18"/>
        </w:rPr>
        <w:t xml:space="preserve">  B1. Dossiers et pièces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18"/>
        </w:rPr>
        <w:t xml:space="preserve">  B2. Dictée et rédaction de plaidoirie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18"/>
        </w:rPr>
        <w:t xml:space="preserve">  B3. Clé de barre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18"/>
        </w:rPr>
        <w:t xml:space="preserve">  B4. Documents, planning, activité, équipe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18"/>
        </w:rPr>
        <w:t>PARTIE C — Abonnement &amp; facturation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18"/>
        </w:rPr>
        <w:t xml:space="preserve">  C1. Plans et quotas (prod)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18"/>
        </w:rPr>
        <w:t xml:space="preserve">  C2. Essai plafonné (Solo / Cabinet)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18"/>
        </w:rPr>
        <w:t xml:space="preserve">  C3. Packs prépayés, PAYG, sièges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18"/>
        </w:rPr>
        <w:t xml:space="preserve">  C4. Parrainage et factures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18"/>
        </w:rPr>
        <w:t xml:space="preserve">  C5. Entreprise, Sur mesure, paiement prêt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18"/>
        </w:rPr>
        <w:t>PARTIE D — Scénarios de test (checklist)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18"/>
        </w:rPr>
        <w:t>PARTIE E — Admin plateforme WEBVOICE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18"/>
        </w:rPr>
        <w:t>Annexe — Pages publiques &amp; dépannage</w:t>
      </w:r>
    </w:p>
    <w:p>
      <w:pPr>
        <w:pStyle w:val="Heading1"/>
      </w:pPr>
      <w:r>
        <w:rPr>
          <w:color w:val="0B1A4D"/>
        </w:rPr>
        <w:t>PARTIE A — Prise en main</w:t>
      </w:r>
    </w:p>
    <w:p>
      <w:pPr>
        <w:pStyle w:val="Heading2"/>
      </w:pPr>
      <w:r>
        <w:rPr>
          <w:color w:val="0B1A4D"/>
        </w:rPr>
        <w:t>A1. Démarrer en 2 minutes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Ouvrir https://lexhub.space (Chrome recommandé pour la dictée).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Cliquer sur Connexion.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Se connecter avec un compte du tableau A2 (ex. demo@sanad.ma).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Hard refresh si l’écran semble ancien : Ctrl+F5.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Suivre le parcours recommandé en Partie D (scénario 1).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EE2E2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1A4D"/>
                <w:sz w:val="20"/>
              </w:rPr>
              <w:t>Important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4A5568"/>
                <w:sz w:val="18"/>
              </w:rPr>
              <w:t>Déconnectez-vous avant de changer de compte / de rôle. Admin plateforme (WEBVOICE) n’est pas un compte de cabinet.</w:t>
            </w:r>
          </w:p>
        </w:tc>
      </w:tr>
    </w:tbl>
    <w:p/>
    <w:p>
      <w:pPr>
        <w:pStyle w:val="Heading2"/>
      </w:pPr>
      <w:r>
        <w:rPr>
          <w:color w:val="0B1A4D"/>
        </w:rPr>
        <w:t>A2. Comptes de test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0"/>
        </w:rPr>
        <w:t>Comptes de démonstration préconfigurés. Mot de passe commun sauf indication contraire : Sanad2026!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0B1A4D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E-mail</w:t>
            </w:r>
          </w:p>
        </w:tc>
        <w:tc>
          <w:tcPr>
            <w:tcW w:type="dxa" w:w="2550"/>
            <w:shd w:fill="0B1A4D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Mot de passe</w:t>
            </w:r>
          </w:p>
        </w:tc>
        <w:tc>
          <w:tcPr>
            <w:tcW w:type="dxa" w:w="2550"/>
            <w:shd w:fill="0B1A4D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Rôle</w:t>
            </w:r>
          </w:p>
        </w:tc>
        <w:tc>
          <w:tcPr>
            <w:tcW w:type="dxa" w:w="2550"/>
            <w:shd w:fill="0B1A4D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À quoi sert le test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demo@sanad.ma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Sanad2026!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 cabinet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Parcours complet produit + billing</w:t>
            </w:r>
          </w:p>
        </w:tc>
      </w:tr>
      <w:tr>
        <w:tc>
          <w:tcPr>
            <w:tcW w:type="dxa" w:w="255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avocat@sanad.ma</w:t>
            </w:r>
          </w:p>
        </w:tc>
        <w:tc>
          <w:tcPr>
            <w:tcW w:type="dxa" w:w="255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Sanad2026!</w:t>
            </w:r>
          </w:p>
        </w:tc>
        <w:tc>
          <w:tcPr>
            <w:tcW w:type="dxa" w:w="255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Avocat</w:t>
            </w:r>
          </w:p>
        </w:tc>
        <w:tc>
          <w:tcPr>
            <w:tcW w:type="dxa" w:w="255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Dictée, dossiers, pièces — sans abo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assistant@sanad.ma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Sanad2026!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Assistant</w:t>
            </w:r>
          </w:p>
        </w:tc>
        <w:tc>
          <w:tcPr>
            <w:tcW w:type="dxa" w:w="255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Pièces / lecture — droits limités</w:t>
            </w:r>
          </w:p>
        </w:tc>
      </w:tr>
      <w:tr>
        <w:tc>
          <w:tcPr>
            <w:tcW w:type="dxa" w:w="255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admin@webvoice.ma</w:t>
            </w:r>
          </w:p>
        </w:tc>
        <w:tc>
          <w:tcPr>
            <w:tcW w:type="dxa" w:w="255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WebVoice2026!</w:t>
            </w:r>
          </w:p>
        </w:tc>
        <w:tc>
          <w:tcPr>
            <w:tcW w:type="dxa" w:w="255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 plateforme</w:t>
            </w:r>
          </w:p>
        </w:tc>
        <w:tc>
          <w:tcPr>
            <w:tcW w:type="dxa" w:w="255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Cabinets, plans, Ops Coach</w:t>
            </w:r>
          </w:p>
        </w:tc>
      </w:tr>
    </w:tbl>
    <w:p/>
    <w:p>
      <w:pPr>
        <w:pStyle w:val="Heading2"/>
      </w:pPr>
      <w:r>
        <w:rPr>
          <w:color w:val="0B1A4D"/>
        </w:rPr>
        <w:t>A3. Rôles et droits (matrice)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0B1A4D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Action</w:t>
            </w:r>
          </w:p>
        </w:tc>
        <w:tc>
          <w:tcPr>
            <w:tcW w:type="dxa" w:w="2040"/>
            <w:shd w:fill="0B1A4D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Admin cabinet</w:t>
            </w:r>
          </w:p>
        </w:tc>
        <w:tc>
          <w:tcPr>
            <w:tcW w:type="dxa" w:w="2040"/>
            <w:shd w:fill="0B1A4D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Avocat</w:t>
            </w:r>
          </w:p>
        </w:tc>
        <w:tc>
          <w:tcPr>
            <w:tcW w:type="dxa" w:w="2040"/>
            <w:shd w:fill="0B1A4D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Assistant</w:t>
            </w:r>
          </w:p>
        </w:tc>
        <w:tc>
          <w:tcPr>
            <w:tcW w:type="dxa" w:w="2040"/>
            <w:shd w:fill="0B1A4D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Admin plateforme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Dictée / plaidoirie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Limité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 (hors cabinet)</w:t>
            </w:r>
          </w:p>
        </w:tc>
      </w:tr>
      <w:tr>
        <w:tc>
          <w:tcPr>
            <w:tcW w:type="dxa" w:w="204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Créer dossier / pièces</w:t>
            </w:r>
          </w:p>
        </w:tc>
        <w:tc>
          <w:tcPr>
            <w:tcW w:type="dxa" w:w="204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</w:t>
            </w:r>
          </w:p>
        </w:tc>
        <w:tc>
          <w:tcPr>
            <w:tcW w:type="dxa" w:w="204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</w:t>
            </w:r>
          </w:p>
        </w:tc>
        <w:tc>
          <w:tcPr>
            <w:tcW w:type="dxa" w:w="204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Selon droits</w:t>
            </w:r>
          </w:p>
        </w:tc>
        <w:tc>
          <w:tcPr>
            <w:tcW w:type="dxa" w:w="204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Clé de barre IA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 / limité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</w:tr>
      <w:tr>
        <w:tc>
          <w:tcPr>
            <w:tcW w:type="dxa" w:w="204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Gérer équipe / invites</w:t>
            </w:r>
          </w:p>
        </w:tc>
        <w:tc>
          <w:tcPr>
            <w:tcW w:type="dxa" w:w="204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</w:t>
            </w:r>
          </w:p>
        </w:tc>
        <w:tc>
          <w:tcPr>
            <w:tcW w:type="dxa" w:w="204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  <w:tc>
          <w:tcPr>
            <w:tcW w:type="dxa" w:w="204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  <w:tc>
          <w:tcPr>
            <w:tcW w:type="dxa" w:w="204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Plan, packs, PAYG, factures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Lecture quotas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Lecture quotas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Vue admin</w:t>
            </w:r>
          </w:p>
        </w:tc>
      </w:tr>
      <w:tr>
        <w:tc>
          <w:tcPr>
            <w:tcW w:type="dxa" w:w="204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Supprimer cabinet</w:t>
            </w:r>
          </w:p>
        </w:tc>
        <w:tc>
          <w:tcPr>
            <w:tcW w:type="dxa" w:w="204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  <w:tc>
          <w:tcPr>
            <w:tcW w:type="dxa" w:w="204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  <w:tc>
          <w:tcPr>
            <w:tcW w:type="dxa" w:w="204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Non</w:t>
            </w:r>
          </w:p>
        </w:tc>
        <w:tc>
          <w:tcPr>
            <w:tcW w:type="dxa" w:w="204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Oui (irréversible)</w:t>
            </w:r>
          </w:p>
        </w:tc>
      </w:tr>
    </w:tbl>
    <w:p/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Admin cabinet = avocat responsable : produit + paiement + équipe.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Avocat = même produit métier, sans gérer l’abonnement.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Assistant = aide pièces / mise en forme ; pas d’IA lourde ni suppression critique.</w:t>
      </w:r>
    </w:p>
    <w:p>
      <w:pPr>
        <w:pStyle w:val="Heading2"/>
      </w:pPr>
      <w:r>
        <w:rPr>
          <w:color w:val="0B1A4D"/>
        </w:rPr>
        <w:t>A4. Navigation réelle de l’application</w:t>
      </w:r>
    </w:p>
    <w:p>
      <w:pPr>
        <w:spacing w:after="120" w:line="240" w:lineRule="auto"/>
      </w:pPr>
      <w:r>
        <w:rPr>
          <w:rFonts w:ascii="Calibri" w:hAnsi="Calibri" w:eastAsia="Calibri"/>
          <w:b/>
          <w:i w:val="0"/>
          <w:sz w:val="20"/>
        </w:rPr>
        <w:t>Dock gauche = navigation principale du cabinet.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B1A4D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Menu</w:t>
            </w:r>
          </w:p>
        </w:tc>
        <w:tc>
          <w:tcPr>
            <w:tcW w:type="dxa" w:w="3400"/>
            <w:shd w:fill="0B1A4D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URL typique</w:t>
            </w:r>
          </w:p>
        </w:tc>
        <w:tc>
          <w:tcPr>
            <w:tcW w:type="dxa" w:w="3400"/>
            <w:shd w:fill="0B1A4D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Rôle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Tableau de bord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/dashboard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Vue d’ensemble</w:t>
            </w:r>
          </w:p>
        </w:tc>
      </w:tr>
      <w:tr>
        <w:tc>
          <w:tcPr>
            <w:tcW w:type="dxa" w:w="340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Dossiers</w:t>
            </w:r>
          </w:p>
        </w:tc>
        <w:tc>
          <w:tcPr>
            <w:tcW w:type="dxa" w:w="340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/cases</w:t>
            </w:r>
          </w:p>
        </w:tc>
        <w:tc>
          <w:tcPr>
            <w:tcW w:type="dxa" w:w="340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Créer / ouvrir dossiers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Documents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/documents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Toutes les pièces</w:t>
            </w:r>
          </w:p>
        </w:tc>
      </w:tr>
      <w:tr>
        <w:tc>
          <w:tcPr>
            <w:tcW w:type="dxa" w:w="340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Rédaction / Plaidoirie</w:t>
            </w:r>
          </w:p>
        </w:tc>
        <w:tc>
          <w:tcPr>
            <w:tcW w:type="dxa" w:w="340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/redaction ou workspace</w:t>
            </w:r>
          </w:p>
        </w:tc>
        <w:tc>
          <w:tcPr>
            <w:tcW w:type="dxa" w:w="340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Dictée → texte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Planning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/agenda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Échéances / audiences</w:t>
            </w:r>
          </w:p>
        </w:tc>
      </w:tr>
      <w:tr>
        <w:tc>
          <w:tcPr>
            <w:tcW w:type="dxa" w:w="340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Équipe</w:t>
            </w:r>
          </w:p>
        </w:tc>
        <w:tc>
          <w:tcPr>
            <w:tcW w:type="dxa" w:w="340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/team</w:t>
            </w:r>
          </w:p>
        </w:tc>
        <w:tc>
          <w:tcPr>
            <w:tcW w:type="dxa" w:w="340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Admin only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Activité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/activity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Journal cabinet</w:t>
            </w:r>
          </w:p>
        </w:tc>
      </w:tr>
    </w:tbl>
    <w:p/>
    <w:p>
      <w:pPr>
        <w:spacing w:after="120" w:line="240" w:lineRule="auto"/>
      </w:pPr>
      <w:r>
        <w:rPr>
          <w:rFonts w:ascii="Calibri" w:hAnsi="Calibri" w:eastAsia="Calibri"/>
          <w:b/>
          <w:i w:val="0"/>
          <w:sz w:val="20"/>
        </w:rPr>
        <w:t>Hors dock — coin haut droit (menu compte)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Paramètres → /settings (Général, Cabinet, Plan &amp; usage, Sécurité, Zone sensible)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Mes factures (admin cabinet)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Déconnexion : uniquement dans ce menu compte (barre du haut). Le dock gauche n’a plus de bouton Déconnexion.</w:t>
      </w:r>
    </w:p>
    <w:p>
      <w:pPr>
        <w:spacing w:after="120" w:line="240" w:lineRule="auto"/>
      </w:pPr>
      <w:r>
        <w:rPr>
          <w:rFonts w:ascii="Calibri" w:hAnsi="Calibri" w:eastAsia="Calibri"/>
          <w:b/>
          <w:i w:val="0"/>
          <w:sz w:val="20"/>
        </w:rPr>
        <w:t>Paramètres → sections utiles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B1A4D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5100"/>
            <w:shd w:fill="0B1A4D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Contenu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Général / Profil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Identité, préférences</w:t>
            </w:r>
          </w:p>
        </w:tc>
      </w:tr>
      <w:tr>
        <w:tc>
          <w:tcPr>
            <w:tcW w:type="dxa" w:w="510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Cabinet</w:t>
            </w:r>
          </w:p>
        </w:tc>
        <w:tc>
          <w:tcPr>
            <w:tcW w:type="dxa" w:w="510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Nom, logo, branding exports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Plan &amp; usage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Abonnement, quotas, PAYG, packs (si éligible), sièges, parrainage</w:t>
            </w:r>
          </w:p>
        </w:tc>
      </w:tr>
      <w:tr>
        <w:tc>
          <w:tcPr>
            <w:tcW w:type="dxa" w:w="510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Sécurité</w:t>
            </w:r>
          </w:p>
        </w:tc>
        <w:tc>
          <w:tcPr>
            <w:tcW w:type="dxa" w:w="510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Mot de passe, 2FA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Zone sensible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Fermeture de compte</w:t>
            </w:r>
          </w:p>
        </w:tc>
      </w:tr>
    </w:tbl>
    <w:p/>
    <w:p>
      <w:pPr>
        <w:pStyle w:val="Heading1"/>
      </w:pPr>
      <w:r>
        <w:rPr>
          <w:color w:val="0B1A4D"/>
        </w:rPr>
        <w:t>PARTIE B — Parcours métier</w:t>
      </w:r>
    </w:p>
    <w:p>
      <w:pPr>
        <w:pStyle w:val="Heading2"/>
      </w:pPr>
      <w:r>
        <w:rPr>
          <w:color w:val="0B1A4D"/>
        </w:rPr>
        <w:t>B1. Dossiers et pièces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Menu Dossiers → Nouveau dossier (admin / avocat).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Renseigner client / matière / ville tribunal si demandé (aides jaunes au clic).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Déposer les pièces (PDF / Word). Attendre le statut d’analyse (indexation).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Renseigner les champs de pièce (voir encadré ci-dessous) puis Enregistrer pièce.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En cas d’échec d’extraction : lire le message d’erreur · Réextraire si proposé.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Si la liste Dossiers reste sur « Chargement… » : attendre le message d’erreur puis Réessayer (Ctrl+F5 si besoin). Ce n’est plus un écran bloqué à l’infini.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2F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1A4D"/>
                <w:sz w:val="20"/>
              </w:rPr>
              <w:t>Champs d’une pièce — à quoi ça sert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4A5568"/>
                <w:sz w:val="18"/>
              </w:rPr>
              <w:t>N° pièce = ordre dans le dossier (1, 2, 3), comme un bordereau. Type = nature (contrat, identité, PV, facture…). Producteur = qui a fourni le document (notre client, adverse, tribunal, tiers). Version = original, copie ou traduction. Réf. dans la plaidoirie = facultatif : la mention que vous citerez à l’audience (« pièce 2 — acte de mariage »). Une aide s’affiche au-dessus de la liste des pièces.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DF5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1A4D"/>
                <w:sz w:val="20"/>
              </w:rPr>
              <w:t>Astuce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4A5568"/>
                <w:sz w:val="18"/>
              </w:rPr>
              <w:t>L’IA (synthèse, clé de barre, plaidoirie) est meilleure quand les pièces sont indexées. Ne lancez pas la rédaction immédiatement après un upload encore « en cours ».</w:t>
            </w:r>
          </w:p>
        </w:tc>
      </w:tr>
    </w:tbl>
    <w:p/>
    <w:p>
      <w:pPr>
        <w:pStyle w:val="Heading2"/>
      </w:pPr>
      <w:r>
        <w:rPr>
          <w:color w:val="0B1A4D"/>
        </w:rPr>
        <w:t>B2. Dictée et rédaction de plaidoirie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Menu Plaidoirie → Nouvelle plaidoirie : reprendre le brouillon local OU commencer une nouvelle.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Lier un dossier existant, ou cliquer Créer un nouveau dossier.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Si vous créez le dossier depuis l’atelier : vous arrivez sur la fiche dossier (onglet Documents). Un bandeau « Reprendre la plaidoirie » ramène à l’atelier sans perdre dictée ni texte.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Depuis un dossier déjà ouvert : « Ouvrir la rédaction » (nouvelle) ou « Reprendre l’atelier » si une session est en cours pour ce dossier.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Dicter (micro Chrome) ou coller / importer un audio ; utiliser Corriger si besoin.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Lancer la rédaction ; relire ; réviser au besoin via l’Assistant IA (langage naturel, fautes OK).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Étape Export : Word et PDF (logo centré, texte arabe RTL comme Word). Les alertes « infos manquantes » de la rédaction ne s’affichent plus à cette étape.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Après un export réussi, la plaidoirie passe au statut Finalisée (plus un simple brouillon local). Trois statuts : Brouillon · Validée (visible assistant) · Finalisée (exportée).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/>
          <w:color w:val="4A5568"/>
          <w:sz w:val="18"/>
        </w:rPr>
        <w:t>Chaque rédaction consomme en général 10 crédits IA + 1 unité du quota plaidoiries. La révision (Assistant IA) consomme typiquement 5 crédits.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2FF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1A4D"/>
                <w:sz w:val="20"/>
              </w:rPr>
              <w:t>Statuts plaidoirie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4A5568"/>
                <w:sz w:val="18"/>
              </w:rPr>
              <w:t>Brouillon = travail en cours (invisible à l’assistant). Validée = partagée à tous les assistants du cabinet. Finalisée = export Word/PDF effectué ; classée dans l’historique « Finalisées ». Valider pour l’assistant et Finaliser après export sont deux gestes distincts.</w:t>
            </w:r>
          </w:p>
        </w:tc>
      </w:tr>
    </w:tbl>
    <w:p/>
    <w:p>
      <w:pPr>
        <w:pStyle w:val="Heading2"/>
      </w:pPr>
      <w:r>
        <w:rPr>
          <w:color w:val="0B1A4D"/>
        </w:rPr>
        <w:t>B3. Clé de barre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0"/>
        </w:rPr>
        <w:t>Fiche orale (faits / moyens / demandes / points d’audience) générée depuis les pièces pour aider à plaider à la barre. Coût typique : 8 crédits + 1 unité « clé de barre ».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Ouvrir un dossier avec pièces indexées.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Bouton « Clé de barre IA ».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Relire — responsabilité finale de l’avocat.</w:t>
      </w:r>
    </w:p>
    <w:p>
      <w:pPr>
        <w:pStyle w:val="Heading2"/>
      </w:pPr>
      <w:r>
        <w:rPr>
          <w:color w:val="0B1A4D"/>
        </w:rPr>
        <w:t>B4. Documents, planning, activité, équipe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Documents (/documents) : toutes les pièces du cabinet, filtres par dossier.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Planning (/agenda) : échéances / audiences / rappels.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Activité (/activity) : journal des actions du cabinet.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Équipe (/team) : admin only — invitation par e-mail uniquement (pas de code cabinet à l’écran).</w:t>
      </w:r>
    </w:p>
    <w:p>
      <w:pPr>
        <w:pStyle w:val="Heading1"/>
      </w:pPr>
      <w:r>
        <w:rPr>
          <w:color w:val="0B1A4D"/>
        </w:rPr>
        <w:t>PARTIE C — Abonnement &amp; facturation</w:t>
      </w:r>
    </w:p>
    <w:p>
      <w:pPr>
        <w:pStyle w:val="Heading2"/>
      </w:pPr>
      <w:r>
        <w:rPr>
          <w:color w:val="0B1A4D"/>
        </w:rPr>
        <w:t>C1. Plans et quotas (production)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shd w:fill="0B1A4D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Plan</w:t>
            </w:r>
          </w:p>
        </w:tc>
        <w:tc>
          <w:tcPr>
            <w:tcW w:type="dxa" w:w="1457"/>
            <w:shd w:fill="0B1A4D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Mensuel</w:t>
            </w:r>
          </w:p>
        </w:tc>
        <w:tc>
          <w:tcPr>
            <w:tcW w:type="dxa" w:w="1457"/>
            <w:shd w:fill="0B1A4D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Annuel</w:t>
            </w:r>
          </w:p>
        </w:tc>
        <w:tc>
          <w:tcPr>
            <w:tcW w:type="dxa" w:w="1457"/>
            <w:shd w:fill="0B1A4D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Essai</w:t>
            </w:r>
          </w:p>
        </w:tc>
        <w:tc>
          <w:tcPr>
            <w:tcW w:type="dxa" w:w="1457"/>
            <w:shd w:fill="0B1A4D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Sièges</w:t>
            </w:r>
          </w:p>
        </w:tc>
        <w:tc>
          <w:tcPr>
            <w:tcW w:type="dxa" w:w="1457"/>
            <w:shd w:fill="0B1A4D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Plaidoiries</w:t>
            </w:r>
          </w:p>
        </w:tc>
        <w:tc>
          <w:tcPr>
            <w:tcW w:type="dxa" w:w="1457"/>
            <w:shd w:fill="0B1A4D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Crédits IA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Découverte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 av.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50</w:t>
            </w:r>
          </w:p>
        </w:tc>
      </w:tr>
      <w:tr>
        <w:tc>
          <w:tcPr>
            <w:tcW w:type="dxa" w:w="1457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Solo</w:t>
            </w:r>
          </w:p>
        </w:tc>
        <w:tc>
          <w:tcPr>
            <w:tcW w:type="dxa" w:w="1457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299</w:t>
            </w:r>
          </w:p>
        </w:tc>
        <w:tc>
          <w:tcPr>
            <w:tcW w:type="dxa" w:w="1457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2 990</w:t>
            </w:r>
          </w:p>
        </w:tc>
        <w:tc>
          <w:tcPr>
            <w:tcW w:type="dxa" w:w="1457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14 j</w:t>
            </w:r>
          </w:p>
        </w:tc>
        <w:tc>
          <w:tcPr>
            <w:tcW w:type="dxa" w:w="1457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1+1</w:t>
            </w:r>
          </w:p>
        </w:tc>
        <w:tc>
          <w:tcPr>
            <w:tcW w:type="dxa" w:w="1457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35</w:t>
            </w:r>
          </w:p>
        </w:tc>
        <w:tc>
          <w:tcPr>
            <w:tcW w:type="dxa" w:w="1457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600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Cabinet ★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699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6 990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30 j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5+3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120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2 000</w:t>
            </w:r>
          </w:p>
        </w:tc>
      </w:tr>
      <w:tr>
        <w:tc>
          <w:tcPr>
            <w:tcW w:type="dxa" w:w="1457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Entreprise</w:t>
            </w:r>
          </w:p>
        </w:tc>
        <w:tc>
          <w:tcPr>
            <w:tcW w:type="dxa" w:w="1457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1 290</w:t>
            </w:r>
          </w:p>
        </w:tc>
        <w:tc>
          <w:tcPr>
            <w:tcW w:type="dxa" w:w="1457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12 900</w:t>
            </w:r>
          </w:p>
        </w:tc>
        <w:tc>
          <w:tcPr>
            <w:tcW w:type="dxa" w:w="1457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après qualification</w:t>
            </w:r>
          </w:p>
        </w:tc>
        <w:tc>
          <w:tcPr>
            <w:tcW w:type="dxa" w:w="1457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15+10</w:t>
            </w:r>
          </w:p>
        </w:tc>
        <w:tc>
          <w:tcPr>
            <w:tcW w:type="dxa" w:w="1457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350</w:t>
            </w:r>
          </w:p>
        </w:tc>
        <w:tc>
          <w:tcPr>
            <w:tcW w:type="dxa" w:w="1457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5 000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Sur mesure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devis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contrat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contrat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contrat</w:t>
            </w:r>
          </w:p>
        </w:tc>
      </w:tr>
    </w:tbl>
    <w:p/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0"/>
        </w:rPr>
        <w:t>Les 4 prix publics vont jusqu’à un cabinet normal (jusqu’à 15 avocats). Un très gros cabinet (plusieurs villes, contrat spécial) prend la 5ᵉ case « Sur mesure / Appelez-nous » : pas de prix sur le site, pas de bouton payer tout de suite.</w:t>
      </w:r>
    </w:p>
    <w:p>
      <w:pPr>
        <w:spacing w:after="120" w:line="240" w:lineRule="auto"/>
      </w:pPr>
      <w:r>
        <w:rPr>
          <w:rFonts w:ascii="Calibri" w:hAnsi="Calibri" w:eastAsia="Calibri"/>
          <w:b/>
          <w:i w:val="0"/>
          <w:sz w:val="20"/>
        </w:rPr>
        <w:t>Coûts crédits par action (rappel)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B1A4D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Action</w:t>
            </w:r>
          </w:p>
        </w:tc>
        <w:tc>
          <w:tcPr>
            <w:tcW w:type="dxa" w:w="3400"/>
            <w:shd w:fill="0B1A4D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Crédits</w:t>
            </w:r>
          </w:p>
        </w:tc>
        <w:tc>
          <w:tcPr>
            <w:tcW w:type="dxa" w:w="3400"/>
            <w:shd w:fill="0B1A4D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Max/mois Solo (indicatif)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Rédaction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10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35 plaidoiries</w:t>
            </w:r>
          </w:p>
        </w:tc>
      </w:tr>
      <w:tr>
        <w:tc>
          <w:tcPr>
            <w:tcW w:type="dxa" w:w="340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Révision</w:t>
            </w:r>
          </w:p>
        </w:tc>
        <w:tc>
          <w:tcPr>
            <w:tcW w:type="dxa" w:w="340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5</w:t>
            </w:r>
          </w:p>
        </w:tc>
        <w:tc>
          <w:tcPr>
            <w:tcW w:type="dxa" w:w="340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60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Analyse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12</w:t>
            </w:r>
          </w:p>
        </w:tc>
      </w:tr>
      <w:tr>
        <w:tc>
          <w:tcPr>
            <w:tcW w:type="dxa" w:w="340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Synthèse</w:t>
            </w:r>
          </w:p>
        </w:tc>
        <w:tc>
          <w:tcPr>
            <w:tcW w:type="dxa" w:w="340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4</w:t>
            </w:r>
          </w:p>
        </w:tc>
        <w:tc>
          <w:tcPr>
            <w:tcW w:type="dxa" w:w="340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25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Question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100</w:t>
            </w:r>
          </w:p>
        </w:tc>
      </w:tr>
      <w:tr>
        <w:tc>
          <w:tcPr>
            <w:tcW w:type="dxa" w:w="340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Clé de barre</w:t>
            </w:r>
          </w:p>
        </w:tc>
        <w:tc>
          <w:tcPr>
            <w:tcW w:type="dxa" w:w="340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8</w:t>
            </w:r>
          </w:p>
        </w:tc>
        <w:tc>
          <w:tcPr>
            <w:tcW w:type="dxa" w:w="340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10</w:t>
            </w:r>
          </w:p>
        </w:tc>
      </w:tr>
    </w:tbl>
    <w:p/>
    <w:p>
      <w:pPr>
        <w:pStyle w:val="Heading2"/>
      </w:pPr>
      <w:r>
        <w:rPr>
          <w:color w:val="0B1A4D"/>
        </w:rPr>
        <w:t>C2. Essai plafonné (Solo et Cabinet — libre-service)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0"/>
        </w:rPr>
        <w:t>Solo et Cabinet : le cabinet clique tout seul sur /tarifs, enregistre une carte, démarre l’essai. Pendant l’essai : 0 MAD, quotas réduits (pas le forfait payant complet). Aucune vente de packs pendant l’essai. Résiliation avant la fin = pas de débit. Entreprise n’est PAS un essai instantané (voir C5).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0B1A4D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Plan</w:t>
            </w:r>
          </w:p>
        </w:tc>
        <w:tc>
          <w:tcPr>
            <w:tcW w:type="dxa" w:w="2040"/>
            <w:shd w:fill="0B1A4D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Durée</w:t>
            </w:r>
          </w:p>
        </w:tc>
        <w:tc>
          <w:tcPr>
            <w:tcW w:type="dxa" w:w="2040"/>
            <w:shd w:fill="0B1A4D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Crédits essai</w:t>
            </w:r>
          </w:p>
        </w:tc>
        <w:tc>
          <w:tcPr>
            <w:tcW w:type="dxa" w:w="2040"/>
            <w:shd w:fill="0B1A4D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Plaidoiries essai</w:t>
            </w:r>
          </w:p>
        </w:tc>
        <w:tc>
          <w:tcPr>
            <w:tcW w:type="dxa" w:w="2040"/>
            <w:shd w:fill="0B1A4D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Après conversion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Solo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14 j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400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25</w:t>
            </w:r>
          </w:p>
        </w:tc>
        <w:tc>
          <w:tcPr>
            <w:tcW w:type="dxa" w:w="204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600 · 35</w:t>
            </w:r>
          </w:p>
        </w:tc>
      </w:tr>
      <w:tr>
        <w:tc>
          <w:tcPr>
            <w:tcW w:type="dxa" w:w="204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Cabinet</w:t>
            </w:r>
          </w:p>
        </w:tc>
        <w:tc>
          <w:tcPr>
            <w:tcW w:type="dxa" w:w="204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30 j</w:t>
            </w:r>
          </w:p>
        </w:tc>
        <w:tc>
          <w:tcPr>
            <w:tcW w:type="dxa" w:w="204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1 000</w:t>
            </w:r>
          </w:p>
        </w:tc>
        <w:tc>
          <w:tcPr>
            <w:tcW w:type="dxa" w:w="204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60</w:t>
            </w:r>
          </w:p>
        </w:tc>
        <w:tc>
          <w:tcPr>
            <w:tcW w:type="dxa" w:w="204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2 000 · 120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EF3C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1A4D"/>
                <w:sz w:val="20"/>
              </w:rPr>
              <w:t>Si quota d’essai atteint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4A5568"/>
                <w:sz w:val="18"/>
              </w:rPr>
              <w:t>Message du type « revenez le [date de fin d’essai] » — pas de CTA packs / offres commerciales.</w:t>
            </w:r>
          </w:p>
        </w:tc>
      </w:tr>
    </w:tbl>
    <w:p/>
    <w:p>
      <w:pPr>
        <w:pStyle w:val="Heading2"/>
      </w:pPr>
      <w:r>
        <w:rPr>
          <w:color w:val="0B1A4D"/>
        </w:rPr>
        <w:t>C3. Packs prépayés, PAYG, sièges</w:t>
      </w:r>
    </w:p>
    <w:p>
      <w:pPr>
        <w:spacing w:after="120" w:line="240" w:lineRule="auto"/>
      </w:pPr>
      <w:r>
        <w:rPr>
          <w:rFonts w:ascii="Calibri" w:hAnsi="Calibri" w:eastAsia="Calibri"/>
          <w:b/>
          <w:i w:val="0"/>
          <w:sz w:val="20"/>
        </w:rPr>
        <w:t>Trois objets distincts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Abonnement = accès + forfait mensuel inclus.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Pack = recharge ponctuelle de crédits (après abo actif payant seulement).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PAYG = dépassement ~0,25 MAD/crédit, OFF par défaut.</w:t>
      </w:r>
    </w:p>
    <w:p>
      <w:pPr>
        <w:spacing w:after="120" w:line="240" w:lineRule="auto"/>
      </w:pPr>
      <w:r>
        <w:rPr>
          <w:rFonts w:ascii="Calibri" w:hAnsi="Calibri" w:eastAsia="Calibri"/>
          <w:b/>
          <w:i w:val="0"/>
          <w:sz w:val="20"/>
        </w:rPr>
        <w:t>Packs — test à faire (admin, statut ACTIF payant uniquement)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Paramètres → Plan &amp; usage : la section packs ne doit PAS apparaître en essai.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Sur abo actif : cliquer Acheter → fenêtre de paiement carte (pas de crédit immédiat).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Après confirmation : solde packs augmente · facture pack dans Mes factures · expiration 12 mois.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Ordre de conso : forfait mois → packs (FIFO) → PAYG si ON.</w:t>
      </w:r>
    </w:p>
    <w:p>
      <w:pPr>
        <w:spacing w:after="120" w:line="240" w:lineRule="auto"/>
      </w:pPr>
      <w:r>
        <w:rPr>
          <w:rFonts w:ascii="Calibri" w:hAnsi="Calibri" w:eastAsia="Calibri"/>
          <w:b/>
          <w:i w:val="0"/>
          <w:sz w:val="20"/>
        </w:rPr>
        <w:t>Sièges à la carte (Cabinet)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0 à 5 sièges avocats extra · 99 MAD / siège / mois · max 10 avocats au total.</w:t>
      </w:r>
    </w:p>
    <w:p>
      <w:pPr>
        <w:pStyle w:val="Heading2"/>
      </w:pPr>
      <w:r>
        <w:rPr>
          <w:color w:val="0B1A4D"/>
        </w:rPr>
        <w:t>C4. Parrainage et factures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Parrainage : code LH-… ou lien /login?tab=register&amp;ref=CODE.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Filleul : +14 j d’essai à l’entrée Solo/Cabinet · Parrain : +30 j quand filleul devient payant.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Mes factures : reçus d’essai (0 MAD) + factures abo / packs · aperçu / PDF.</w:t>
      </w:r>
    </w:p>
    <w:p>
      <w:pPr>
        <w:pStyle w:val="Heading2"/>
      </w:pPr>
      <w:r>
        <w:rPr>
          <w:color w:val="0B1A4D"/>
        </w:rPr>
        <w:t>C5. Entreprise, Sur mesure, paiement prêt</w:t>
      </w:r>
    </w:p>
    <w:p>
      <w:pPr>
        <w:spacing w:after="120" w:line="240" w:lineRule="auto"/>
      </w:pPr>
      <w:r>
        <w:rPr>
          <w:rFonts w:ascii="Calibri" w:hAnsi="Calibri" w:eastAsia="Calibri"/>
          <w:b/>
          <w:i w:val="0"/>
          <w:sz w:val="20"/>
        </w:rPr>
        <w:t>Essai Entreprise (qualification)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0"/>
        </w:rPr>
        <w:t>L’offre Entreprise ouvre beaucoup de sièges et beaucoup d’IA. Risque : un faux compte teste tout puis disparaît, ou personne n’appelle le commercial. En production : pas de checkout instantané. Bouton tarifs / Paramètres → https://lexhub.space/commercial?intent=enterprise (formulaire court). Un conseiller recontacte sous 24–48 h ; l’admin plateforme assigne ensuite le plan.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Ouvrir /tarifs (sans compte ou avec admin cabinet).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Carte Entreprise → « Demander un essai Entreprise » (pas d’essai 30 j cliquable).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Remplir nom, e-mail, téléphone, cabinet, ville, nombre d’avocats, message.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Message de confirmation. Vérifier l’e-mail d’accusé (si SMTP est configuré).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Admin plateforme : /admin/leads (Demandes) → statut Nouveau / Contacté / Qualifié / Clos.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i w:val="0"/>
          <w:sz w:val="20"/>
        </w:rPr>
        <w:t>Après qualification : /admin/cabinets → assigner le plan Entreprise.</w:t>
      </w:r>
    </w:p>
    <w:p>
      <w:pPr>
        <w:spacing w:after="120" w:line="240" w:lineRule="auto"/>
      </w:pPr>
      <w:r>
        <w:rPr>
          <w:rFonts w:ascii="Calibri" w:hAnsi="Calibri" w:eastAsia="Calibri"/>
          <w:b/>
          <w:i w:val="0"/>
          <w:sz w:val="20"/>
        </w:rPr>
        <w:t>Palier Sur mesure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0"/>
        </w:rPr>
        <w:t>5ᵉ case sur /tarifs : « Sur mesure / Appelez-nous ». Pas de prix public. Formulaire https://lexhub.space/commercial?intent=custom → devis / contrat à la main. Aucun paiement en ligne sur cette offre.</w:t>
      </w:r>
    </w:p>
    <w:p>
      <w:pPr>
        <w:spacing w:after="120" w:line="240" w:lineRule="auto"/>
      </w:pPr>
      <w:r>
        <w:rPr>
          <w:rFonts w:ascii="Calibri" w:hAnsi="Calibri" w:eastAsia="Calibri"/>
          <w:b/>
          <w:i w:val="0"/>
          <w:sz w:val="20"/>
        </w:rPr>
        <w:t>Paiement électronique — environnement prêt, pas encore encaissé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CMI / PayZone : statut « Prêt — activation opérateur » (webhooks stub déjà en place).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Solo / Cabinet : carte enregistrée pour l’essai (0 MAD aujourd’hui) — pas un vrai débit CMI.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Quand l’opérateur sera activé, le parcours actuel (checkout, factures, packs) reste le même cadre.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EF3C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1A4D"/>
                <w:sz w:val="20"/>
              </w:rPr>
              <w:t>Ne pas tester comme un paiement live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4A5568"/>
                <w:sz w:val="18"/>
              </w:rPr>
              <w:t>Ne pas promettre à un client que CMI encaisse déjà. Le site prépare l’environnement ; l’activation opérateur est une étape suivante (feuille de route 12.3).</w:t>
            </w:r>
          </w:p>
        </w:tc>
      </w:tr>
    </w:tbl>
    <w:p/>
    <w:p>
      <w:pPr>
        <w:pStyle w:val="Heading1"/>
      </w:pPr>
      <w:r>
        <w:rPr>
          <w:color w:val="0B1A4D"/>
        </w:rPr>
        <w:t>PARTIE D — Scénarios de test (checklist)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0"/>
        </w:rPr>
        <w:t>Cochez chaque case après exécution réussie. Compte recommandé : demo@sanad.ma sauf mention contraire.</w:t>
      </w:r>
    </w:p>
    <w:p>
      <w:pPr>
        <w:pStyle w:val="Heading2"/>
      </w:pPr>
      <w:r>
        <w:rPr>
          <w:color w:val="0B1A4D"/>
        </w:rPr>
        <w:t>Scénario 1 — Connexion &amp; navigation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□ Login OK · dock visible · Paramètres accessibles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□ Un seul bouton Déconnexion : menu compte (haut droite) — aucun dans le dock gauche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□ Changer de langue FR/AR si disponible · UI lisible</w:t>
      </w:r>
    </w:p>
    <w:p>
      <w:pPr>
        <w:pStyle w:val="Heading2"/>
      </w:pPr>
      <w:r>
        <w:rPr>
          <w:color w:val="0B1A4D"/>
        </w:rPr>
        <w:t>Scénario 2 — Dossier + pièce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□ Créer un dossier · uploader 1 PDF/Word · statut analyse → OK ou message d’erreur clair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□ Aperçu / téléchargement pièce sans erreur serveur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□ Lire le encadré « À quoi servent les champs » · renseigner N° / Type / Producteur / Version / Réf.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□ Liste Dossiers : si erreur de chargement, bouton Réessayer (pas un spinner infini)</w:t>
      </w:r>
    </w:p>
    <w:p>
      <w:pPr>
        <w:pStyle w:val="Heading2"/>
      </w:pPr>
      <w:r>
        <w:rPr>
          <w:color w:val="0B1A4D"/>
        </w:rPr>
        <w:t>Scénario 3 — Plaidoirie courte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□ Nouvelle plaidoirie → Commencer une nouvelle (ou Reprendre si brouillon)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□ Créer un nouveau dossier depuis l’atelier → fiche dossier + bandeau Reprendre la plaidoirie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□ Revenir à l’atelier sans perdre le texte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□ Dicter ou coller un texte · Corriger · Lancer rédaction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□ Relire · Assistant IA (ex. remplir une section vide) · Export Word et PDF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□ PDF : logo centré, corps RTL, pas de cases [] à la place des puces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□ Après export : statut Finalisée dans /redaction (filtre Finalisées)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□ À l’étape Export : plus de bandeau « X infos manquantes »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□ Vérifier que les crédits / plaidoiries ont bougé dans Plan &amp; usage</w:t>
      </w:r>
    </w:p>
    <w:p>
      <w:pPr>
        <w:pStyle w:val="Heading2"/>
      </w:pPr>
      <w:r>
        <w:rPr>
          <w:color w:val="0B1A4D"/>
        </w:rPr>
        <w:t>Scénario 4 — Clé de barre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□ Sur dossier indexé · générer clé de barre · texte affiché</w:t>
      </w:r>
    </w:p>
    <w:p>
      <w:pPr>
        <w:pStyle w:val="Heading2"/>
      </w:pPr>
      <w:r>
        <w:rPr>
          <w:color w:val="0B1A4D"/>
        </w:rPr>
        <w:t>Scénario 5 — Rôles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□ avocat@… : produit OK · pas de gestion abo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□ assistant@… : droits limités respectés</w:t>
      </w:r>
    </w:p>
    <w:p>
      <w:pPr>
        <w:pStyle w:val="Heading2"/>
      </w:pPr>
      <w:r>
        <w:rPr>
          <w:color w:val="0B1A4D"/>
        </w:rPr>
        <w:t>Scénario 6 — Billing (admin)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□ Voir plan, statut (essai ou actif), quotas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□ Si ESSAI : packs absents · message quota essai sans offre pack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□ Si ACTIF : packs visibles · Acheter ouvre fenêtre paiement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□ PAYG OFF/ON · Mes factures listent reçus / factures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□ Cabinet : sièges extra (si plan Cabinet) enregistrés</w:t>
      </w:r>
    </w:p>
    <w:p>
      <w:pPr>
        <w:pStyle w:val="Heading2"/>
      </w:pPr>
      <w:r>
        <w:rPr>
          <w:color w:val="0B1A4D"/>
        </w:rPr>
        <w:t>Scénario 7 — Équipe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□ Invitation e-mail uniquement (pas de code cabinet à l’écran) · rôle correct · limite de sièges</w:t>
      </w:r>
    </w:p>
    <w:p>
      <w:pPr>
        <w:pStyle w:val="Heading2"/>
      </w:pPr>
      <w:r>
        <w:rPr>
          <w:color w:val="0B1A4D"/>
        </w:rPr>
        <w:t>Scénario 8 — Tarifs Entreprise &amp; Sur mesure (sans compte ou demo)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□ /tarifs : 4 cartes prix + 5ᵉ case Sur mesure sans prix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□ Solo / Cabinet : essai libre-service (pitch puis checkout carte)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□ Entreprise : formulaire /commercial?intent=enterprise — pas de checkout carte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□ Sur mesure : formulaire /commercial?intent=custom — pas de prix, pas de payer tout de suite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□ admin@webvoice.ma → /admin/leads : la demande apparaît</w:t>
      </w:r>
    </w:p>
    <w:p>
      <w:pPr>
        <w:pStyle w:val="Heading1"/>
      </w:pPr>
      <w:r>
        <w:rPr>
          <w:color w:val="0B1A4D"/>
        </w:rPr>
        <w:t>PARTIE E — Admin plateforme WEBVOICE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0"/>
        </w:rPr>
        <w:t>Compte : admin@webvoice.ma / WebVoice2026! → espace /admin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Liste des cabinets · détail · abonnement &amp; factures · assigner un plan (dont Entreprise après qualification)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Demandes (/admin/leads) : essais Entreprise et devis Sur mesure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Plans &amp; revenus · journaux / archives selon menus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Ops Coach : constats, pistes, brouillons d’e-mails ops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Déconnexion admin : menu compte en haut à droite (plus dans le dock gauche)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EE2E2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0B1A4D"/>
                <w:sz w:val="20"/>
              </w:rPr>
              <w:t>Danger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4A5568"/>
                <w:sz w:val="18"/>
              </w:rPr>
              <w:t>Supprimer un cabinet est définitif (comptes, dossiers, pièces). Ne le faire que sur des cabinets de test.</w:t>
            </w:r>
          </w:p>
        </w:tc>
      </w:tr>
    </w:tbl>
    <w:p/>
    <w:p>
      <w:pPr>
        <w:pStyle w:val="Heading1"/>
      </w:pPr>
      <w:r>
        <w:rPr>
          <w:color w:val="0B1A4D"/>
        </w:rPr>
        <w:t>Annexe — Pages publiques &amp; dépannage</w:t>
      </w:r>
    </w:p>
    <w:p>
      <w:pPr>
        <w:pStyle w:val="Heading2"/>
      </w:pPr>
      <w:r>
        <w:rPr>
          <w:color w:val="0B1A4D"/>
        </w:rPr>
        <w:t>Pages publiques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/ — landing · FAQ · #parrainage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/tarifs — grille live (4 prix + Sur mesure)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/commercial — formulaire Entreprise ou Sur mesure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/fonctionnalites · /securite · /about · /aide · /contact · mentions / confidentialité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sz w:val="20"/>
        </w:rPr>
        <w:t>/login — connexion / inscription</w:t>
      </w:r>
    </w:p>
    <w:p>
      <w:pPr>
        <w:pStyle w:val="Heading2"/>
      </w:pPr>
      <w:r>
        <w:rPr>
          <w:color w:val="0B1A4D"/>
        </w:rPr>
        <w:t>Dépannage rapide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B1A4D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Symptôme</w:t>
            </w:r>
          </w:p>
        </w:tc>
        <w:tc>
          <w:tcPr>
            <w:tcW w:type="dxa" w:w="5100"/>
            <w:shd w:fill="0B1A4D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Action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UI ancienne / bug déjà corrigé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Ctrl+F5 · autre navigateur</w:t>
            </w:r>
          </w:p>
        </w:tc>
      </w:tr>
      <w:tr>
        <w:tc>
          <w:tcPr>
            <w:tcW w:type="dxa" w:w="510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Dictée muette</w:t>
            </w:r>
          </w:p>
        </w:tc>
        <w:tc>
          <w:tcPr>
            <w:tcW w:type="dxa" w:w="510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Chrome + permission micro · sinon upload audio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Pièce failed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Réextraire · vérifier format · message d’erreur</w:t>
            </w:r>
          </w:p>
        </w:tc>
      </w:tr>
      <w:tr>
        <w:tc>
          <w:tcPr>
            <w:tcW w:type="dxa" w:w="510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Export / téléchargement erreur</w:t>
            </w:r>
          </w:p>
        </w:tc>
        <w:tc>
          <w:tcPr>
            <w:tcW w:type="dxa" w:w="510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Réessayer · hard refresh · signaler si 500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Export PDF illisible / LTR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Hard refresh · réexporter · vérifier logo cabinet · signaler si persiste</w:t>
            </w:r>
          </w:p>
        </w:tc>
      </w:tr>
      <w:tr>
        <w:tc>
          <w:tcPr>
            <w:tcW w:type="dxa" w:w="510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Toujours « brouillon » après export</w:t>
            </w:r>
          </w:p>
        </w:tc>
        <w:tc>
          <w:tcPr>
            <w:tcW w:type="dxa" w:w="510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Hard refresh · historique /redaction → filtre Finalisées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Quota / 402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Lire le message · essai vs payant · PAYG / pack / upgrade</w:t>
            </w:r>
          </w:p>
        </w:tc>
      </w:tr>
      <w:tr>
        <w:tc>
          <w:tcPr>
            <w:tcW w:type="dxa" w:w="510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Packs visibles en essai</w:t>
            </w:r>
          </w:p>
        </w:tc>
        <w:tc>
          <w:tcPr>
            <w:tcW w:type="dxa" w:w="510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Anomalie : ne doit pas arriver — hard refresh / signaler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Dossiers en chargement infini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Attendre le message d’erreur · Réessayer · Ctrl+F5</w:t>
            </w:r>
          </w:p>
        </w:tc>
      </w:tr>
      <w:tr>
        <w:tc>
          <w:tcPr>
            <w:tcW w:type="dxa" w:w="510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Entreprise ouvre un checkout carte</w:t>
            </w:r>
          </w:p>
        </w:tc>
        <w:tc>
          <w:tcPr>
            <w:tcW w:type="dxa" w:w="5100"/>
            <w:shd w:fill="F1F5F9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Anomalie : doit aller sur /commercial — hard refresh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Deux boutons Déconnexion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Anomalie : un seul, menu compte haut droite</w:t>
            </w:r>
          </w:p>
        </w:tc>
      </w:tr>
    </w:tbl>
    <w:p/>
    <w:p>
      <w:pPr>
        <w:spacing w:before="40" w:after="160"/>
        <w:pBdr>
          <w:bottom w:val="single" w:sz="12" w:space="1" w:color="C9A84A"/>
        </w:pBdr>
      </w:pPr>
    </w:p>
    <w:p>
      <w:pPr>
        <w:spacing w:after="120" w:line="240" w:lineRule="auto"/>
        <w:jc w:val="center"/>
      </w:pPr>
      <w:r>
        <w:rPr>
          <w:rFonts w:ascii="Calibri" w:hAnsi="Calibri" w:eastAsia="Calibri"/>
          <w:b w:val="0"/>
          <w:i/>
          <w:color w:val="4A5568"/>
          <w:sz w:val="16"/>
        </w:rPr>
        <w:t>LexHub · Guide d’utilisation &amp; tests · Aligné production · Régénérer via docs/livraison-encadrant-2026/generate_guide_utilisation_pro.py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