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152000" cy="116705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-lexhu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52000" cy="116705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 w:eastAsia="Calibri"/>
          <w:b/>
          <w:i w:val="0"/>
          <w:color w:val="0A1228"/>
          <w:sz w:val="40"/>
        </w:rPr>
        <w:t>Captures d'écran à réaliser pour le rapport PFA</w:t>
      </w:r>
    </w:p>
    <w:p>
      <w:pPr>
        <w:jc w:val="center"/>
      </w:pPr>
      <w:r>
        <w:rPr>
          <w:rFonts w:ascii="Calibri" w:hAnsi="Calibri" w:eastAsia="Calibri"/>
          <w:b w:val="0"/>
          <w:i/>
          <w:color w:val="4A5568"/>
          <w:sz w:val="20"/>
        </w:rPr>
        <w:t>Liste exhaustive — emplacements laissés vides dans le rapport LaTeX (annexes)</w:t>
      </w:r>
    </w:p>
    <w:p>
      <w:pPr>
        <w:jc w:val="center"/>
      </w:pPr>
      <w:r>
        <w:rPr>
          <w:rFonts w:ascii="Calibri" w:hAnsi="Calibri" w:eastAsia="Calibri"/>
          <w:b w:val="0"/>
          <w:i w:val="0"/>
          <w:color w:val="C9A84A"/>
          <w:sz w:val="18"/>
        </w:rPr>
        <w:t>LexHub · https://lexhub.space · WEBVOICE · ENSA Tétouan</w:t>
      </w:r>
    </w:p>
    <w:p/>
    <w:p>
      <w:pPr>
        <w:spacing w:after="120" w:line="240" w:lineRule="auto"/>
      </w:pPr>
      <w:r>
        <w:rPr>
          <w:rFonts w:ascii="Calibri" w:hAnsi="Calibri" w:eastAsia="Calibri"/>
          <w:b w:val="0"/>
          <w:i w:val="0"/>
          <w:sz w:val="20"/>
        </w:rPr>
        <w:t>Consigne. Sur https://lexhub.space, capturer en plein écran (navigateur FR puis éventuellement AR). Nommer les fichiers exactement comme ci-dessous et les placer dans docs/rapport-pfa-overleaf2/rapport-pfa/maquettes/ (et copie assets si besoin).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93"/>
        <w:gridCol w:w="2493"/>
        <w:gridCol w:w="2493"/>
        <w:gridCol w:w="2493"/>
      </w:tblGrid>
      <w:tr>
        <w:tc>
          <w:tcPr>
            <w:tcW w:type="dxa" w:w="2493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#</w:t>
            </w:r>
          </w:p>
        </w:tc>
        <w:tc>
          <w:tcPr>
            <w:tcW w:type="dxa" w:w="2493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Fichier cible</w:t>
            </w:r>
          </w:p>
        </w:tc>
        <w:tc>
          <w:tcPr>
            <w:tcW w:type="dxa" w:w="2493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Écran / action</w:t>
            </w:r>
          </w:p>
        </w:tc>
        <w:tc>
          <w:tcPr>
            <w:tcW w:type="dxa" w:w="2493"/>
            <w:shd w:fill="0A1228" w:val="clear"/>
          </w:tcPr>
          <w:p>
            <w:r/>
            <w:r>
              <w:rPr>
                <w:rFonts w:ascii="Calibri" w:hAnsi="Calibri" w:eastAsia="Calibri"/>
                <w:b/>
                <w:i w:val="0"/>
                <w:color w:val="FFFFFF"/>
                <w:sz w:val="18"/>
              </w:rPr>
              <w:t>Compte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01-accueil.png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Landing LexHub (hero + marque)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Visiteur</w:t>
            </w:r>
          </w:p>
        </w:tc>
      </w:tr>
      <w:tr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02-connexion.png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Page connexion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Visiteur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03-inscription.png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Inscription / demande OTP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Visiteur</w:t>
            </w:r>
          </w:p>
        </w:tc>
      </w:tr>
      <w:tr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4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10-tableau-de-bord.png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Dashboard cabinet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11-dossiers.png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Liste dossiers (+ filtre domaine)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</w:t>
            </w:r>
          </w:p>
        </w:tc>
      </w:tr>
      <w:tr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6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24-dossier-detail.png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Détail d'un dossier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13-documents.png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Espace documents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</w:t>
            </w:r>
          </w:p>
        </w:tc>
      </w:tr>
      <w:tr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8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14b-plaidoirie-workspace.png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Atelier : rail Étape X/5 visible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9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14c-transcription-fusha.png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Étape Transcription + orange + contradictions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</w:t>
            </w:r>
          </w:p>
        </w:tc>
      </w:tr>
      <w:tr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10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19-export-document.png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Export Word/PDF / aperçu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11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15-planning.png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Planning / échéances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</w:t>
            </w:r>
          </w:p>
        </w:tc>
      </w:tr>
      <w:tr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12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16-equipe.png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Équipe + invitations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13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17-parametres.png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Paramètres (onglet abo visible)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</w:t>
            </w:r>
          </w:p>
        </w:tc>
      </w:tr>
      <w:tr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14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18-join-cabinet.png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Rejoindre un cabinet (code)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Visiteur / invite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15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22a-admin-dashboard.png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 plateforme métriques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admin@webvoice</w:t>
            </w:r>
          </w:p>
        </w:tc>
      </w:tr>
      <w:tr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16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22-admin-cabinets.png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Liste cabinets admin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admin@webvoice</w:t>
            </w:r>
          </w:p>
        </w:tc>
      </w:tr>
      <w:tr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17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23-activite-cabinet.png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Journal d'activité</w:t>
            </w:r>
          </w:p>
        </w:tc>
        <w:tc>
          <w:tcPr>
            <w:tcW w:type="dxa" w:w="2493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demo@</w:t>
            </w:r>
          </w:p>
        </w:tc>
      </w:tr>
      <w:tr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18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tarifs-lexhub.png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Page /tarifs 4 plans réels</w:t>
            </w:r>
          </w:p>
        </w:tc>
        <w:tc>
          <w:tcPr>
            <w:tcW w:type="dxa" w:w="2493"/>
            <w:shd w:fill="EEF1F8" w:val="clear"/>
          </w:tcPr>
          <w:p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Visiteur</w:t>
            </w:r>
          </w:p>
        </w:tc>
      </w:tr>
    </w:tbl>
    <w:p/>
    <w:p>
      <w:pPr>
        <w:spacing w:after="120" w:line="240" w:lineRule="auto"/>
      </w:pPr>
      <w:r>
        <w:rPr>
          <w:rFonts w:ascii="Calibri" w:hAnsi="Calibri" w:eastAsia="Calibri"/>
          <w:b w:val="0"/>
          <w:i/>
          <w:sz w:val="20"/>
        </w:rPr>
        <w:t>Dans le rapport LaTeX, les figures d'annexe sont des cadres « À capturer » : remplacer par \includegraphics{…} une fois les PNG déposés.</w:t>
      </w:r>
    </w:p>
    <w:sectPr w:rsidR="00FC693F" w:rsidRPr="0006063C" w:rsidSect="00034616">
      <w:pgSz w:w="12240" w:h="15840"/>
      <w:pgMar w:top="907" w:right="1134" w:bottom="90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