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Calibri" w:hAnsi="Calibri"/>
          <w:b/>
          <w:i w:val="0"/>
          <w:color w:val="0B1A4D"/>
          <w:sz w:val="36"/>
        </w:rPr>
        <w:t>LexHub — Note d'Accès &amp; Audit Base de Données</w:t>
      </w:r>
    </w:p>
    <w:p>
      <w:pPr>
        <w:spacing w:after="320" w:line="276" w:lineRule="auto"/>
        <w:jc w:val="center"/>
      </w:pPr>
      <w:r>
        <w:rPr>
          <w:rFonts w:ascii="Calibri" w:hAnsi="Calibri"/>
          <w:b/>
          <w:i w:val="0"/>
          <w:color w:val="C4973F"/>
          <w:sz w:val="22"/>
        </w:rPr>
        <w:t>PostgreSQL 15 · Adminer Sécurisé · Tunnel SSH · Secret Professionnel (Loi n° 28-08)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fill="F1F5F9" w:val="clear"/>
          </w:tcPr>
          <w:p>
            <w:r>
              <w:rPr>
                <w:b/>
                <w:sz w:val="19"/>
              </w:rPr>
              <w:t>Plateforme de production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https://lexhub.space (Serveur VPS dédié 51.38.78.23)</w:t>
            </w:r>
          </w:p>
        </w:tc>
      </w:tr>
      <w:tr>
        <w:tc>
          <w:tcPr>
            <w:tcW w:type="dxa" w:w="3118"/>
            <w:shd w:fill="F1F5F9" w:val="clear"/>
          </w:tcPr>
          <w:p>
            <w:r>
              <w:rPr>
                <w:b/>
                <w:sz w:val="19"/>
              </w:rPr>
              <w:t>Moteur de base de données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PostgreSQL 15 (Conteneur Docker interne « postgres »)</w:t>
            </w:r>
          </w:p>
        </w:tc>
      </w:tr>
      <w:tr>
        <w:tc>
          <w:tcPr>
            <w:tcW w:type="dxa" w:w="3118"/>
            <w:shd w:fill="F1F5F9" w:val="clear"/>
          </w:tcPr>
          <w:p>
            <w:r>
              <w:rPr>
                <w:b/>
                <w:sz w:val="19"/>
              </w:rPr>
              <w:t>Interface d'audit technique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Adminer officiel (Conteneur interne « adminer » via port 8088 local)</w:t>
            </w:r>
          </w:p>
        </w:tc>
      </w:tr>
      <w:tr>
        <w:tc>
          <w:tcPr>
            <w:tcW w:type="dxa" w:w="3118"/>
            <w:shd w:fill="F1F5F9" w:val="clear"/>
          </w:tcPr>
          <w:p>
            <w:r>
              <w:rPr>
                <w:b/>
                <w:sz w:val="19"/>
              </w:rPr>
              <w:t>Politique d'exposition Web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Zéro accès public (Article 30 de la loi 28-08 — Port 8080 neutralisé)</w:t>
            </w:r>
          </w:p>
        </w:tc>
      </w:tr>
      <w:tr>
        <w:tc>
          <w:tcPr>
            <w:tcW w:type="dxa" w:w="3118"/>
            <w:shd w:fill="F1F5F9" w:val="clear"/>
          </w:tcPr>
          <w:p>
            <w:r>
              <w:rPr>
                <w:b/>
                <w:sz w:val="19"/>
              </w:rPr>
              <w:t>Canal d'accès autorisé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Tunnel SSH chiffré de bout en bout (Script Ouvrir_Adminer.bat)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80"/>
      </w:pPr>
      <w:r>
        <w:rPr>
          <w:rFonts w:ascii="Calibri" w:hAnsi="Calibri"/>
          <w:color w:val="0B1A4D"/>
        </w:rPr>
        <w:t>Procédure Pas-à-Pas Garantie pour l'Audit Technique</w:t>
      </w:r>
    </w:p>
    <w:p>
      <w:pPr>
        <w:pStyle w:val="Heading2"/>
        <w:keepNext/>
        <w:spacing w:before="280" w:after="80"/>
      </w:pPr>
      <w:r>
        <w:rPr>
          <w:rFonts w:ascii="Calibri" w:hAnsi="Calibri"/>
          <w:color w:val="0B1A4D"/>
        </w:rPr>
        <w:t>Étape 1 — Lancer le tunnel SSH sécurisé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1. Faire un double-clic sur le fichier Ouvrir_Adminer.bat (situé dans ce dossier).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 xml:space="preserve">   (Alternative en ligne de commande : python open_adminer_tunnel.py)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2. Une fenêtre d'invite de commandes noire s'ouvre et affiche le message suivant :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0B1A4D"/>
          <w:sz w:val="22"/>
        </w:rPr>
        <w:t xml:space="preserve">   « Tunnel SSH actif sur http://127.0.0.1:8088 »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IMPORTANT : Laisser cette fenêtre d'invite de commandes ouverte pendant toute la durée de la session d'audit. Sa fermeture interrompt instantanément la liaison.</w:t>
      </w:r>
    </w:p>
    <w:p>
      <w:pPr>
        <w:pStyle w:val="Heading2"/>
        <w:keepNext/>
        <w:spacing w:before="280" w:after="80"/>
      </w:pPr>
      <w:r>
        <w:rPr>
          <w:rFonts w:ascii="Calibri" w:hAnsi="Calibri"/>
          <w:color w:val="0B1A4D"/>
        </w:rPr>
        <w:t>Étape 2 — Ouvrir votre navigateur web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Lancer Google Chrome ou Microsoft Edge et naviguer sur l'adresse locale :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0B1A4D"/>
          <w:sz w:val="22"/>
        </w:rPr>
        <w:t>http://127.0.0.1:8088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La page d'authentification officielle d'Adminer s'affiche immédiatement.</w:t>
      </w:r>
    </w:p>
    <w:p>
      <w:pPr>
        <w:pStyle w:val="Heading2"/>
        <w:keepNext/>
        <w:spacing w:before="280" w:after="80"/>
      </w:pPr>
      <w:r>
        <w:rPr>
          <w:rFonts w:ascii="Calibri" w:hAnsi="Calibri"/>
          <w:color w:val="0B1A4D"/>
        </w:rPr>
        <w:t>Étape 3 — Renseigner les identifiants SQL stricts de production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Saisir scrupuleusement les 5 paramètres de connexion suivants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0B1A4D" w:val="clear"/>
          </w:tcPr>
          <w:p>
            <w:r>
              <w:rPr>
                <w:b/>
                <w:color w:val="FFFFFF"/>
              </w:rPr>
              <w:t>Champ Adminer</w:t>
            </w:r>
          </w:p>
        </w:tc>
        <w:tc>
          <w:tcPr>
            <w:tcW w:type="dxa" w:w="6803"/>
            <w:shd w:fill="0B1A4D" w:val="clear"/>
          </w:tcPr>
          <w:p>
            <w:r>
              <w:rPr>
                <w:b/>
                <w:color w:val="FFFFFF"/>
              </w:rPr>
              <w:t>Valeur exacte à saisir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rPr>
                <w:b/>
                <w:sz w:val="19"/>
              </w:rPr>
              <w:t>Système</w:t>
            </w:r>
          </w:p>
        </w:tc>
        <w:tc>
          <w:tcPr>
            <w:tcW w:type="dxa" w:w="6803"/>
            <w:shd w:fill="F8FAFC" w:val="clear"/>
          </w:tcPr>
          <w:p>
            <w:r>
              <w:rPr>
                <w:sz w:val="19"/>
              </w:rPr>
              <w:t>PostgreSQL  (sélectionner dans la liste déroulante)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9"/>
              </w:rPr>
              <w:t>Serveur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postgres  (nom d'hôte Docker interne ; NE PAS saisir localhost ni d'adresse IP)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rPr>
                <w:b/>
                <w:sz w:val="19"/>
              </w:rPr>
              <w:t>Utilisateur</w:t>
            </w:r>
          </w:p>
        </w:tc>
        <w:tc>
          <w:tcPr>
            <w:tcW w:type="dxa" w:w="6803"/>
            <w:shd w:fill="F8FAFC" w:val="clear"/>
          </w:tcPr>
          <w:p>
            <w:r>
              <w:rPr>
                <w:sz w:val="19"/>
              </w:rPr>
              <w:t>lexhub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9"/>
              </w:rPr>
              <w:t>Mot de passe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LhPg-gGhAymhq7AnfnrlWCEdvsloQ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rPr>
                <w:b/>
                <w:sz w:val="19"/>
              </w:rPr>
              <w:t>Base de données</w:t>
            </w:r>
          </w:p>
        </w:tc>
        <w:tc>
          <w:tcPr>
            <w:tcW w:type="dxa" w:w="6803"/>
            <w:shd w:fill="F8FAFC" w:val="clear"/>
          </w:tcPr>
          <w:p>
            <w:r>
              <w:rPr>
                <w:sz w:val="19"/>
              </w:rPr>
              <w:t>lexhub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b/>
          <w:i w:val="0"/>
          <w:color w:val="1F2937"/>
          <w:sz w:val="22"/>
        </w:rPr>
        <w:t>Action : Cliquer sur le bouton « S'identifier » pour ouvrir la base.</w:t>
      </w:r>
    </w:p>
    <w:p>
      <w:pPr>
        <w:pStyle w:val="Heading2"/>
        <w:keepNext/>
        <w:spacing w:before="280" w:after="80"/>
      </w:pPr>
      <w:r>
        <w:rPr>
          <w:rFonts w:ascii="Calibri" w:hAnsi="Calibri"/>
          <w:color w:val="0B1A4D"/>
        </w:rPr>
        <w:t>Étape 4 — Consultation &amp; Audit des Tables Clés en Direct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Une fois connecté au schéma public de la base lexhub, vous pouvez inspecter directement les tables métier suivantes 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B1A4D"/>
          <w:sz w:val="21"/>
        </w:rPr>
        <w:t xml:space="preserve">commercial_leads : </w:t>
      </w:r>
      <w:r>
        <w:rPr>
          <w:rFonts w:ascii="Calibri" w:hAnsi="Calibri"/>
          <w:color w:val="1F2937"/>
          <w:sz w:val="21"/>
        </w:rPr>
        <w:t>Formulaires de qualification reçus pour l'offre Entreprise et les devis personnalisés grands comptes.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B1A4D"/>
          <w:sz w:val="21"/>
        </w:rPr>
        <w:t xml:space="preserve">cabinets : </w:t>
      </w:r>
      <w:r>
        <w:rPr>
          <w:rFonts w:ascii="Calibri" w:hAnsi="Calibri"/>
          <w:color w:val="1F2937"/>
          <w:sz w:val="21"/>
        </w:rPr>
        <w:t>Liste des cabinets d'avocats inscrits, statut d'activation, type d'abonnement, quotas de crédits IA et échéance d'essai.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B1A4D"/>
          <w:sz w:val="21"/>
        </w:rPr>
        <w:t xml:space="preserve">users : </w:t>
      </w:r>
      <w:r>
        <w:rPr>
          <w:rFonts w:ascii="Calibri" w:hAnsi="Calibri"/>
          <w:color w:val="1F2937"/>
          <w:sz w:val="21"/>
        </w:rPr>
        <w:t>Comptes utilisateurs enregistrés au sein des cabinets (rôles avocat, assistant_juridique, admin_cabinet) et hashs bcrypt.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B1A4D"/>
          <w:sz w:val="21"/>
        </w:rPr>
        <w:t xml:space="preserve">cases : </w:t>
      </w:r>
      <w:r>
        <w:rPr>
          <w:rFonts w:ascii="Calibri" w:hAnsi="Calibri"/>
          <w:color w:val="1F2937"/>
          <w:sz w:val="21"/>
        </w:rPr>
        <w:t>Dossiers judiciaires ouverts, tribunaux de rattachement, villes, numéros d'ordre et parties adverses.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B1A4D"/>
          <w:sz w:val="21"/>
        </w:rPr>
        <w:t xml:space="preserve">plaidoirie_drafts : </w:t>
      </w:r>
      <w:r>
        <w:rPr>
          <w:rFonts w:ascii="Calibri" w:hAnsi="Calibri"/>
          <w:color w:val="1F2937"/>
          <w:sz w:val="21"/>
        </w:rPr>
        <w:t>Projets de plaidoirie avec traçabilité des trois statuts réels (draft / validated / finalized).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B1A4D"/>
          <w:sz w:val="21"/>
        </w:rPr>
        <w:t xml:space="preserve">ai_credit_transactions : </w:t>
      </w:r>
      <w:r>
        <w:rPr>
          <w:rFonts w:ascii="Calibri" w:hAnsi="Calibri"/>
          <w:color w:val="1F2937"/>
          <w:sz w:val="21"/>
        </w:rPr>
        <w:t>Journal d'audit temps réel de chaque consommation d'intelligence artificielle (rédaction, synthèse, clarification).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B1A4D"/>
          <w:sz w:val="21"/>
        </w:rPr>
        <w:t xml:space="preserve">invoices : </w:t>
      </w:r>
      <w:r>
        <w:rPr>
          <w:rFonts w:ascii="Calibri" w:hAnsi="Calibri"/>
          <w:color w:val="1F2937"/>
          <w:sz w:val="21"/>
        </w:rPr>
        <w:t>Historique comptable comprenant les reçus d'essai à 0 MAD et les factures d'abonnement ou de packs.</w:t>
      </w:r>
    </w:p>
    <w:p>
      <w:pPr>
        <w:pStyle w:val="Heading1"/>
        <w:keepNext/>
        <w:spacing w:before="280" w:after="80"/>
      </w:pPr>
      <w:r>
        <w:rPr>
          <w:rFonts w:ascii="Calibri" w:hAnsi="Calibri"/>
          <w:color w:val="0B1A4D"/>
        </w:rPr>
        <w:t>Clôture de Session &amp; Révocation d'Accès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Pour révoquer l'accès et sécuriser la passerelle : fermer simplement la fenêtre noire d'invite de commandes du tunnel. Le port local 8088 est immédiatement libéré et l'accès à la base de données redevient totalement inaccessible.</w:t>
      </w:r>
    </w:p>
    <w:p>
      <w:pPr>
        <w:spacing w:after="120" w:line="276" w:lineRule="auto"/>
      </w:pPr>
      <w:r>
        <w:rPr>
          <w:rFonts w:ascii="Calibri" w:hAnsi="Calibri"/>
          <w:b w:val="0"/>
          <w:i/>
          <w:color w:val="4A5568"/>
          <w:sz w:val="20"/>
        </w:rPr>
        <w:t>Conformité déontologique : Cette architecture garantit le respect rigoureux de l'article 30 de la loi n° 28-08 régissant la profession d'avocat au Maroc (secret professionnel absolu).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