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4"/>
        </w:rPr>
        <w:t>LexHub — Proposition commerciale</w:t>
      </w:r>
    </w:p>
    <w:p>
      <w:pPr>
        <w:jc w:val="center"/>
      </w:pPr>
      <w:r>
        <w:rPr>
          <w:rFonts w:ascii="Calibri" w:hAnsi="Calibri" w:eastAsia="Calibri"/>
          <w:b w:val="0"/>
          <w:i/>
          <w:sz w:val="22"/>
        </w:rPr>
        <w:t>Plans · tarifs MAD · descriptions · WEBVOICE / Hatim Benhaddou · août 2026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xhub-product-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LexHub (https://lexhub.space) — LegalTech pour cabinets marocains : dictée arabe → fusḥā → structure de plaidoirie → export Word/PDF, dossiers, équipe, planning.</w:t>
      </w:r>
    </w:p>
    <w:p>
      <w:pPr>
        <w:pStyle w:val="Heading1"/>
      </w:pPr>
      <w:r>
        <w:rPr>
          <w:color w:val="0A1228"/>
        </w:rPr>
        <w:t>1. Vision pricing (pro, 2030)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Modèle freemium + essai 14 jours du plan Cabinet (recommandé), inspiré Cursor / Clio / Notion : activation rapide, upgrade clair, pas d'essai 30 jours trop long pour un outil IA.</w:t>
      </w:r>
    </w:p>
    <w:p>
      <w:pPr>
        <w:pStyle w:val="Heading1"/>
      </w:pPr>
      <w:r>
        <w:rPr>
          <w:color w:val="0A1228"/>
        </w:rPr>
        <w:t>2. Grille tarifaire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exhub-plans-tarif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Plan</w:t>
            </w:r>
          </w:p>
        </w:tc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MAD / mois</w:t>
            </w:r>
          </w:p>
        </w:tc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MAD / an*</w:t>
            </w:r>
          </w:p>
        </w:tc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Sièges</w:t>
            </w:r>
          </w:p>
        </w:tc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Plaidoiries / mois</w:t>
            </w:r>
          </w:p>
        </w:tc>
        <w:tc>
          <w:tcPr>
            <w:tcW w:type="dxa" w:w="1662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Positionnement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Découverte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avocat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Freemium permanent</w:t>
            </w:r>
          </w:p>
        </w:tc>
      </w:tr>
      <w:tr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Solo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299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≈ 2 990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+ 1 assistant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50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Avocat indépendant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Cabinet ★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699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≈ 6 990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 + 3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200</w:t>
            </w:r>
          </w:p>
        </w:tc>
        <w:tc>
          <w:tcPr>
            <w:tcW w:type="dxa" w:w="166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Recommandé — équipe + clé de barre</w:t>
            </w:r>
          </w:p>
        </w:tc>
      </w:tr>
      <w:tr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Entreprise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1 890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sur devis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20 + 10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Élevé / illimité soft</w:t>
            </w:r>
          </w:p>
        </w:tc>
        <w:tc>
          <w:tcPr>
            <w:tcW w:type="dxa" w:w="1662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Gros cabinets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18"/>
        </w:rPr>
        <w:t>* Annuel : affichage commercial (≈ 2 mois offres typiques SaaS) — mock paiement CMI/PayZone.</w:t>
      </w:r>
    </w:p>
    <w:p>
      <w:pPr>
        <w:pStyle w:val="Heading1"/>
      </w:pPr>
      <w:r>
        <w:rPr>
          <w:color w:val="0A1228"/>
        </w:rPr>
        <w:t>3. Descriptions par plan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Découverte (0 MAD)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Tester LexHub sans carte. 1 avocat, quotas bas. Ideal pour découvrir la dictée. Pas d'invitations équipe. Upsell naturel après essai ou saturation quota.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Solo (299 MAD/mois)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Avocat solo + 1 assistant. Volume plaidoiries sérieux, exports, dossiers. Parfait barreau individuel qui délègue la mise en forme.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Cabinet (699 MAD/mois) — recommandé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Cœur de marché : plusieurs avocats, assistants, clé de barre IA, branding cabinet, invites e-mail. Essai 14 j à l'inscription. Meilleur rapport valeur / prix pour un cabinet moyen.</w:t>
      </w:r>
    </w:p>
    <w:p>
      <w:pPr>
        <w:spacing w:after="120" w:line="240" w:lineRule="auto"/>
      </w:pPr>
      <w:r>
        <w:rPr>
          <w:rFonts w:ascii="Calibri" w:hAnsi="Calibri" w:eastAsia="Calibri"/>
          <w:b/>
          <w:i w:val="0"/>
          <w:color w:val="0A1228"/>
          <w:sz w:val="22"/>
        </w:rPr>
        <w:t>Entreprise (1 890 MAD/mois)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Gros volumes, sièges élevés, pilotage multi-équipes. Sur-mesure possible (SSO, facturation ICE).</w:t>
      </w:r>
    </w:p>
    <w:p>
      <w:pPr>
        <w:pStyle w:val="Heading1"/>
      </w:pPr>
      <w:r>
        <w:rPr>
          <w:color w:val="0A1228"/>
        </w:rPr>
        <w:t>4. Essai &amp; cycle de vie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2"/>
        </w:rPr>
        <w:t>Inscription → essai Cabinet 14 j → e-mails J-7 / J-3 / J-1 → fin d'essai → Découverte sauf upgrade. Paiement électronique Maroc (CMI / PayZone / virement) en préparation ; sélection de plan déjà active (mode mock).</w:t>
      </w:r>
    </w:p>
    <w:p>
      <w:pPr>
        <w:pStyle w:val="Heading1"/>
      </w:pPr>
      <w:r>
        <w:rPr>
          <w:color w:val="0A1228"/>
        </w:rPr>
        <w:t>5. Ce qui n'est PAS vendu en marketing</w:t>
      </w:r>
    </w:p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Masquage PII interne, détails infra : restent techniques. On vend : temps gagné, qualité fusḥā, collaboration cabinet, exports officiels.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