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A1228"/>
          <w:sz w:val="40"/>
        </w:rPr>
        <w:t>Vérification profonde + design LexHub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sz w:val="20"/>
        </w:rPr>
        <w:t>Audit UX / rôles / palette — livraison finale</w:t>
      </w:r>
    </w:p>
    <w:p>
      <w:pPr>
        <w:pStyle w:val="Heading1"/>
      </w:pPr>
      <w:r>
        <w:rPr>
          <w:color w:val="0A1228"/>
        </w:rPr>
        <w:t>1. Clarification « idées intelligentes » (pour Douae)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color w:val="0A1228"/>
          <w:sz w:val="22"/>
        </w:rPr>
        <w:t>Déjà en place (Live)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L'app affiche des conseils selon l'USAGE RÉEL du cabinet : pas de plaidoirie encore → « Dictez votre 1ʳᵉ » ; essai bientôt fini → upgrade ; quota 80 % → alerte ; admin sans 2FA → sécuriser. Ce n'est PAS du spam publicitaire.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color w:val="0A1228"/>
          <w:sz w:val="22"/>
        </w:rPr>
        <w:t>Backlog (plus tard, pas bloquant pour finir aujourd'hui)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NPS après validation, rappel audience sans plaidoirie, pack annuel -2 mois, tests A/B de textes upgrade. Ce sont des améliorations futures — le cœur produit est déjà là.</w:t>
      </w:r>
    </w:p>
    <w:p>
      <w:pPr>
        <w:pStyle w:val="Heading1"/>
      </w:pPr>
      <w:r>
        <w:rPr>
          <w:color w:val="0A1228"/>
        </w:rPr>
        <w:t>2. Palette — est-elle pro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3324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3324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Navy / ink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#0A1228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Identité, titres, CTA</w:t>
            </w:r>
          </w:p>
        </w:tc>
      </w:tr>
      <w:tr>
        <w:tc>
          <w:tcPr>
            <w:tcW w:type="dxa" w:w="332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Royal</w:t>
            </w:r>
          </w:p>
        </w:tc>
        <w:tc>
          <w:tcPr>
            <w:tcW w:type="dxa" w:w="332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#0B1A4D / #12307A</w:t>
            </w:r>
          </w:p>
        </w:tc>
        <w:tc>
          <w:tcPr>
            <w:tcW w:type="dxa" w:w="332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Profondeur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Accent gold→orange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#FF6A00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CTA secondaires, barre quota</w:t>
            </w:r>
          </w:p>
        </w:tc>
      </w:tr>
      <w:tr>
        <w:tc>
          <w:tcPr>
            <w:tcW w:type="dxa" w:w="332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Fond cream cool</w:t>
            </w:r>
          </w:p>
        </w:tc>
        <w:tc>
          <w:tcPr>
            <w:tcW w:type="dxa" w:w="332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#EEF1F8</w:t>
            </w:r>
          </w:p>
        </w:tc>
        <w:tc>
          <w:tcPr>
            <w:tcW w:type="dxa" w:w="332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Fond app (pas cream chaud cliché)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Card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#FBFCFE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Surfaces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2"/>
        </w:rPr>
        <w:t>Verdict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Oui, la base est professionnelle (navy juridique + accent chaud + fond froid). Recommandation 2030 : 1) garder navy + orange #FF6A00 comme accent unique (éviter le vieux doré #C9A227 dans les écrans billing) ; 2) plus d'espace blanc, moins de cards empilées ; 3) typographie display déjà en place — la renforcer sur landing ; 4) motion légère déjà présente — la garder sobre (type Linear/Cursor). Éviter purple/glow AI générique. Score actuel : ~8/10 LegalTech premium.</w:t>
      </w:r>
    </w:p>
    <w:p>
      <w:pPr>
        <w:pStyle w:val="Heading1"/>
      </w:pPr>
      <w:r>
        <w:rPr>
          <w:color w:val="0A1228"/>
        </w:rPr>
        <w:t>3. Vérification espaces (tous acteurs)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Contrôles effectués côté code : guards rôle, banners selon entitlements, picker type plaidoirie remis en parcours, API types complète, CTAs upgrade différenciés admin vs avocat/assistant.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Point</w:t>
            </w:r>
          </w:p>
        </w:tc>
        <w:tc>
          <w:tcPr>
            <w:tcW w:type="dxa" w:w="4986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Type plaidoirie → filtre → API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Corrigé / live</w:t>
            </w:r>
          </w:p>
        </w:tc>
      </w:tr>
      <w:tr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Upgrade visible tous rôles cabinet</w:t>
            </w:r>
          </w:p>
        </w:tc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 (CTA adapté)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Assistant sans dictée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WV isolé /admin</w:t>
            </w:r>
          </w:p>
        </w:tc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Invites e-mail only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E-mails rétention P1–P3</w:t>
            </w:r>
          </w:p>
        </w:tc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Paiement réel CMI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Phase 2 (mock)</w:t>
            </w:r>
          </w:p>
        </w:tc>
      </w:tr>
      <w:tr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Clé OpenAI</w:t>
            </w:r>
          </w:p>
        </w:tc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 attente WEBVOICE</w:t>
            </w:r>
          </w:p>
        </w:tc>
      </w:tr>
    </w:tbl>
    <w:p/>
    <w:p>
      <w:pPr>
        <w:pStyle w:val="Heading1"/>
      </w:pPr>
      <w:r>
        <w:rPr>
          <w:color w:val="0A1228"/>
        </w:rPr>
        <w:t>4. Inspirations mondiales (IA 2030)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Cursor (activation + e-mails cycle) · Clio (LegalTech clair) · Linear (densité pro) · Notion (essai + upgrade). LexHub combine dictée AR locale + SaaS cabinet — différenciation Maroc.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