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36"/>
        </w:rPr>
        <w:t>LexHub — Critique marché, sécurité &amp; clarifications</w:t>
      </w:r>
    </w:p>
    <w:p>
      <w:r>
        <w:rPr>
          <w:rFonts w:ascii="Calibri" w:hAnsi="Calibri"/>
          <w:b w:val="0"/>
          <w:sz w:val="20"/>
        </w:rPr>
        <w:t>Pour Douae + Hatim · août 2026 · https://lexhub.space</w:t>
      </w:r>
    </w:p>
    <w:p>
      <w:pPr>
        <w:pStyle w:val="Heading1"/>
      </w:pPr>
      <w:r>
        <w:rPr>
          <w:color w:val="0A1228"/>
        </w:rPr>
        <w:t>1. C’est quoi le « backlog NPS » ? (simple)</w:t>
      </w:r>
    </w:p>
    <w:p>
      <w:r>
        <w:rPr>
          <w:rFonts w:ascii="Calibri" w:hAnsi="Calibri"/>
          <w:b w:val="0"/>
          <w:sz w:val="22"/>
        </w:rPr>
        <w:t>NPS = demander aux clients « recommanderiez-vous LexHub ? » (note 0–10).</w:t>
      </w:r>
    </w:p>
    <w:p>
      <w:r>
        <w:rPr>
          <w:rFonts w:ascii="Calibri" w:hAnsi="Calibri"/>
          <w:b w:val="0"/>
          <w:sz w:val="22"/>
        </w:rPr>
        <w:t>Promo annuel = offrir 2 mois gratuits si paiement annuel.</w:t>
      </w:r>
    </w:p>
    <w:p>
      <w:r>
        <w:rPr>
          <w:rFonts w:ascii="Calibri" w:hAnsi="Calibri"/>
          <w:b/>
          <w:sz w:val="22"/>
        </w:rPr>
        <w:t>Ce n’était PAS une tâche pour toi aujourd’hui. C’était une idée pour dans 3–6 mois, comme une liste de courses future. Tu n’as RIEN à coder là-dessus pour livrer.</w:t>
      </w:r>
    </w:p>
    <w:p>
      <w:pPr>
        <w:pStyle w:val="Heading1"/>
      </w:pPr>
      <w:r>
        <w:rPr>
          <w:color w:val="0A1228"/>
        </w:rPr>
        <w:t>2. Critique honnête de l’app (marché)</w:t>
      </w:r>
    </w:p>
    <w:p>
      <w:r>
        <w:rPr>
          <w:rFonts w:ascii="Calibri" w:hAnsi="Calibri"/>
          <w:b/>
          <w:sz w:val="22"/>
        </w:rPr>
        <w:t>Forces</w:t>
      </w:r>
    </w:p>
    <w:p>
      <w:r>
        <w:rPr>
          <w:rFonts w:ascii="Calibri" w:hAnsi="Calibri"/>
          <w:b w:val="0"/>
          <w:sz w:val="22"/>
        </w:rPr>
        <w:t>• Différenciation réelle : dictée arabe → plaidoirie marocaine (peu de concurrents).</w:t>
      </w:r>
    </w:p>
    <w:p>
      <w:r>
        <w:rPr>
          <w:rFonts w:ascii="Calibri" w:hAnsi="Calibri"/>
          <w:b w:val="0"/>
          <w:sz w:val="22"/>
        </w:rPr>
        <w:t>• Isolation multi-cabinet solide (dossiers / docs / plaidoiries).</w:t>
      </w:r>
    </w:p>
    <w:p>
      <w:r>
        <w:rPr>
          <w:rFonts w:ascii="Calibri" w:hAnsi="Calibri"/>
          <w:b w:val="0"/>
          <w:sz w:val="22"/>
        </w:rPr>
        <w:t>• Rôles clairs admin / avocat / assistant.</w:t>
      </w:r>
    </w:p>
    <w:p>
      <w:r>
        <w:rPr>
          <w:rFonts w:ascii="Calibri" w:hAnsi="Calibri"/>
          <w:b w:val="0"/>
          <w:sz w:val="22"/>
        </w:rPr>
        <w:t>• Essai 14 j + e-mails rétention type SaaS.</w:t>
      </w:r>
    </w:p>
    <w:p>
      <w:r>
        <w:rPr>
          <w:rFonts w:ascii="Calibri" w:hAnsi="Calibri"/>
          <w:b/>
          <w:sz w:val="22"/>
        </w:rPr>
        <w:t>Faiblesses corrigées aujourd’hui</w:t>
      </w:r>
    </w:p>
    <w:p>
      <w:r>
        <w:rPr>
          <w:rFonts w:ascii="Calibri" w:hAnsi="Calibri"/>
          <w:b w:val="0"/>
          <w:sz w:val="22"/>
        </w:rPr>
        <w:t>• Auto-upgrade plan payant sans paiement → verrouillé si mock off.</w:t>
      </w:r>
    </w:p>
    <w:p>
      <w:r>
        <w:rPr>
          <w:rFonts w:ascii="Calibri" w:hAnsi="Calibri"/>
          <w:b w:val="0"/>
          <w:sz w:val="22"/>
        </w:rPr>
        <w:t>• Compte désactivé qui se réactivait via reset MDP → corrigé.</w:t>
      </w:r>
    </w:p>
    <w:p>
      <w:r>
        <w:rPr>
          <w:rFonts w:ascii="Calibri" w:hAnsi="Calibri"/>
          <w:b w:val="0"/>
          <w:sz w:val="22"/>
        </w:rPr>
        <w:t>• WebSocket acceptait refresh token → access only.</w:t>
      </w:r>
    </w:p>
    <w:p>
      <w:r>
        <w:rPr>
          <w:rFonts w:ascii="Calibri" w:hAnsi="Calibri"/>
          <w:b w:val="0"/>
          <w:sz w:val="22"/>
        </w:rPr>
        <w:t>• OTP brute-force → limite 5 échecs / e-mail.</w:t>
      </w:r>
    </w:p>
    <w:p>
      <w:r>
        <w:rPr>
          <w:rFonts w:ascii="Calibri" w:hAnsi="Calibri"/>
          <w:b w:val="0"/>
          <w:sz w:val="22"/>
        </w:rPr>
        <w:t>• Invite accept sans re-check sièges → corrigé.</w:t>
      </w:r>
    </w:p>
    <w:p>
      <w:r>
        <w:rPr>
          <w:rFonts w:ascii="Calibri" w:hAnsi="Calibri"/>
          <w:b w:val="0"/>
          <w:sz w:val="22"/>
        </w:rPr>
        <w:t>• XSS facture HTML → échappé.</w:t>
      </w:r>
    </w:p>
    <w:p>
      <w:r>
        <w:rPr>
          <w:rFonts w:ascii="Calibri" w:hAnsi="Calibri"/>
          <w:b w:val="0"/>
          <w:sz w:val="22"/>
        </w:rPr>
        <w:t>• Bouton « simuler échec paiement » retiré de l’UI client.</w:t>
      </w:r>
    </w:p>
    <w:p>
      <w:r>
        <w:rPr>
          <w:rFonts w:ascii="Calibri" w:hAnsi="Calibri"/>
          <w:b w:val="0"/>
          <w:sz w:val="22"/>
        </w:rPr>
        <w:t>• Claim « hébergé Maroc » vs OVH France → reformulé honnête.</w:t>
      </w:r>
    </w:p>
    <w:p>
      <w:r>
        <w:rPr>
          <w:rFonts w:ascii="Calibri" w:hAnsi="Calibri"/>
          <w:b w:val="0"/>
          <w:sz w:val="22"/>
        </w:rPr>
        <w:t>• CTAs tarifs alignés sur essai Cabinet 14 j.</w:t>
      </w:r>
    </w:p>
    <w:p>
      <w:r>
        <w:rPr>
          <w:rFonts w:ascii="Calibri" w:hAnsi="Calibri"/>
          <w:b/>
          <w:sz w:val="22"/>
        </w:rPr>
        <w:t>Reste phase 2 (marché réel)</w:t>
      </w:r>
    </w:p>
    <w:p>
      <w:r>
        <w:rPr>
          <w:rFonts w:ascii="Calibri" w:hAnsi="Calibri"/>
          <w:b w:val="0"/>
          <w:sz w:val="22"/>
        </w:rPr>
        <w:t>• Paiement CMI/PayZone live.</w:t>
      </w:r>
    </w:p>
    <w:p>
      <w:r>
        <w:rPr>
          <w:rFonts w:ascii="Calibri" w:hAnsi="Calibri"/>
          <w:b w:val="0"/>
          <w:sz w:val="22"/>
        </w:rPr>
        <w:t>• Clé OpenAI (qualité clé de barre).</w:t>
      </w:r>
    </w:p>
    <w:p>
      <w:r>
        <w:rPr>
          <w:rFonts w:ascii="Calibri" w:hAnsi="Calibri"/>
          <w:b w:val="0"/>
          <w:sz w:val="22"/>
        </w:rPr>
        <w:t>• MFA obligatoire admin plateforme.</w:t>
      </w:r>
    </w:p>
    <w:p>
      <w:r>
        <w:rPr>
          <w:rFonts w:ascii="Calibri" w:hAnsi="Calibri"/>
          <w:b w:val="0"/>
          <w:sz w:val="22"/>
        </w:rPr>
        <w:t>• Facture fiscale ICE/TVA.</w:t>
      </w:r>
    </w:p>
    <w:p>
      <w:pPr>
        <w:pStyle w:val="Heading1"/>
      </w:pPr>
      <w:r>
        <w:rPr>
          <w:color w:val="0A1228"/>
        </w:rPr>
        <w:t>3. Verdict</w:t>
      </w:r>
    </w:p>
    <w:p>
      <w:r>
        <w:rPr>
          <w:rFonts w:ascii="Calibri" w:hAnsi="Calibri"/>
          <w:b w:val="0"/>
          <w:sz w:val="22"/>
        </w:rPr>
        <w:t>Pour une démo / pilot WEBVOICE + PFA : l’app est finalisable et crédible. Pour « n°1 marché Maroc » commercial mass-market : il manque surtout le paiement réel et la preuve d’adoption (cabinets pilotes). Le produit cœur (plaidoirie) est le différenciateur — c’est le bon pari.</w:t>
      </w:r>
    </w:p>
    <w:sectPr w:rsidR="00FC693F" w:rsidRPr="0006063C" w:rsidSect="00034616">
      <w:pgSz w:w="12240" w:h="15840"/>
      <w:pgMar w:top="102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